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F2" w:rsidRDefault="005A18F2" w:rsidP="005A18F2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Владислав КАЛЮЖНИЙ</w:t>
      </w:r>
    </w:p>
    <w:p w:rsidR="00A86205" w:rsidRPr="003E75EF" w:rsidRDefault="00A86205" w:rsidP="00A8620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fr-FR"/>
        </w:rPr>
      </w:pPr>
      <w:r w:rsidRPr="003E75EF">
        <w:rPr>
          <w:rFonts w:ascii="Times New Roman" w:hAnsi="Times New Roman"/>
          <w:b/>
          <w:sz w:val="28"/>
          <w:szCs w:val="28"/>
          <w:lang w:eastAsia="fr-FR"/>
        </w:rPr>
        <w:t>ЗАБЕЗПЕЧЕННЯ ЯКОСТІ ПІДГОТОВКИ ВИКЛАДАЧА ВИЩОЇ ШКОЛИ ДО СТВОРЕННЯ І ЗАБЕЗПЕЧЕННЯ МОТИВАЦІЙНОГО КОМПОНЕНТА ДЛЯ ФОРМУВАННЯ ПІЗНАВАЛЬНИХ ІНТЕРЕСІВ СТУДЕНТІВ</w:t>
      </w:r>
    </w:p>
    <w:p w:rsidR="000533F9" w:rsidRPr="000533F9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забезпечення якості</w:t>
      </w:r>
      <w:r w:rsidR="00A86205">
        <w:rPr>
          <w:rFonts w:ascii="Times New Roman" w:hAnsi="Times New Roman"/>
          <w:sz w:val="28"/>
          <w:szCs w:val="28"/>
          <w:lang w:val="uk-UA"/>
        </w:rPr>
        <w:t>,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 ефективності, продуктивності інтелектуальності праці </w:t>
      </w:r>
      <w:r>
        <w:rPr>
          <w:rFonts w:ascii="Times New Roman" w:hAnsi="Times New Roman"/>
          <w:sz w:val="28"/>
          <w:szCs w:val="28"/>
          <w:lang w:val="uk-UA" w:eastAsia="uk-UA"/>
        </w:rPr>
        <w:t>важливо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 підвищ</w:t>
      </w:r>
      <w:r>
        <w:rPr>
          <w:rFonts w:ascii="Times New Roman" w:hAnsi="Times New Roman"/>
          <w:sz w:val="28"/>
          <w:szCs w:val="28"/>
          <w:lang w:val="uk-UA" w:eastAsia="uk-UA"/>
        </w:rPr>
        <w:t>ити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 мотиваційн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 можливост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 людини. Найбільш вагомим мотивом у навчанні студентів є пізнавальний інтерес, який лежить біля підвалин активності й самостійності. Адже інтерес є не що інше, як </w:t>
      </w:r>
      <w:proofErr w:type="spellStart"/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>емоційно</w:t>
      </w:r>
      <w:proofErr w:type="spellEnd"/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 забарвлений інтелектуальний мотив, вибіркове </w:t>
      </w:r>
      <w:proofErr w:type="spellStart"/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>емоційно</w:t>
      </w:r>
      <w:proofErr w:type="spellEnd"/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>-пізнавальне ставлення особистості до предметів, явищ, подій навколишньої дійсності. Без нього не може сформуватися інтерес до майбутньої професійної діяльності, зокрема пізнавальний інтерес у студентів, чия робота буде пов’язана з людьми.</w:t>
      </w:r>
    </w:p>
    <w:p w:rsidR="000533F9" w:rsidRPr="000533F9" w:rsidRDefault="00A86205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6EF7">
        <w:rPr>
          <w:rFonts w:ascii="Times New Roman" w:hAnsi="Times New Roman"/>
          <w:sz w:val="28"/>
          <w:szCs w:val="28"/>
          <w:lang w:val="uk-UA" w:eastAsia="uk-UA"/>
        </w:rPr>
        <w:t xml:space="preserve">Аналіз останніх публікацій засвідчив посилену увагу науковців до розгляду теоретичних 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 xml:space="preserve"> практичних засад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якості освіти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[</w:t>
      </w:r>
      <w:r>
        <w:rPr>
          <w:rFonts w:ascii="Times New Roman" w:hAnsi="Times New Roman"/>
          <w:sz w:val="28"/>
          <w:szCs w:val="28"/>
          <w:lang w:val="uk-UA" w:eastAsia="uk-UA"/>
        </w:rPr>
        <w:t>1–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/>
          <w:sz w:val="28"/>
          <w:szCs w:val="28"/>
          <w:lang w:val="uk-UA" w:eastAsia="uk-UA"/>
        </w:rPr>
        <w:t>4–8</w:t>
      </w:r>
      <w:r>
        <w:rPr>
          <w:rFonts w:ascii="Times New Roman" w:hAnsi="Times New Roman"/>
          <w:sz w:val="28"/>
          <w:szCs w:val="28"/>
          <w:lang w:val="uk-UA" w:eastAsia="uk-UA"/>
        </w:rPr>
        <w:t>; 1</w:t>
      </w:r>
      <w:r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>–1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/>
          <w:sz w:val="28"/>
          <w:szCs w:val="28"/>
          <w:lang w:val="uk-UA" w:eastAsia="uk-UA"/>
        </w:rPr>
        <w:t>17; 20</w:t>
      </w:r>
      <w:r w:rsidRPr="00326C5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та ін.]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підготовці </w:t>
      </w:r>
      <w:r>
        <w:rPr>
          <w:rFonts w:ascii="Times New Roman" w:hAnsi="Times New Roman"/>
          <w:sz w:val="28"/>
          <w:szCs w:val="28"/>
          <w:lang w:val="uk-UA"/>
        </w:rPr>
        <w:t>викладача вищої школи</w:t>
      </w:r>
      <w:r>
        <w:rPr>
          <w:rFonts w:ascii="Times New Roman" w:hAnsi="Times New Roman"/>
          <w:sz w:val="28"/>
          <w:szCs w:val="28"/>
          <w:lang w:val="uk-UA"/>
        </w:rPr>
        <w:t xml:space="preserve"> до формування у</w:t>
      </w:r>
      <w:r w:rsidRPr="00A8620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студентів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>пізнавальн</w:t>
      </w:r>
      <w:r>
        <w:rPr>
          <w:rFonts w:ascii="Times New Roman" w:hAnsi="Times New Roman"/>
          <w:sz w:val="28"/>
          <w:szCs w:val="28"/>
          <w:lang w:val="uk-UA" w:eastAsia="uk-UA"/>
        </w:rPr>
        <w:t>ого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 інтерес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[</w:t>
      </w:r>
      <w:r>
        <w:rPr>
          <w:rFonts w:ascii="Times New Roman" w:hAnsi="Times New Roman"/>
          <w:sz w:val="28"/>
          <w:szCs w:val="28"/>
          <w:lang w:val="uk-UA" w:eastAsia="uk-UA"/>
        </w:rPr>
        <w:t>3; 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/>
          <w:sz w:val="28"/>
          <w:szCs w:val="28"/>
          <w:lang w:val="uk-UA" w:eastAsia="uk-UA"/>
        </w:rPr>
        <w:t>15–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/>
          <w:sz w:val="28"/>
          <w:szCs w:val="28"/>
          <w:lang w:val="uk-UA" w:eastAsia="uk-UA"/>
        </w:rPr>
        <w:t>18–19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та ін.].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Автори 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вважають, що м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>отиви діяльності особистості здатні виконувати функцію контролю через механізм «емоційної корекції» поведінки. Емоції дають оцінку особистісному значенню того, що відбувається, і в випадку невідповідності цього смислу мотиви змінюють спрямованість діяльності особистості. Тільки знаючи те, що спонукає людину до діяльності, які мотиви лежать у основі її дій, можна спробувати розробити ефективну систему норм і методів управління. Для цього необхідно знати, як виникають або викликаються ті чи інші мотиви, як і якими способами мотиви можуть приводитися у дію, як здійснюється мотивування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0701F" w:rsidRPr="000533F9">
        <w:rPr>
          <w:rFonts w:ascii="Times New Roman" w:hAnsi="Times New Roman"/>
          <w:sz w:val="28"/>
          <w:szCs w:val="28"/>
          <w:lang w:val="uk-UA" w:eastAsia="uk-UA"/>
        </w:rPr>
        <w:t>[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15</w:t>
      </w:r>
      <w:r w:rsidR="0060701F" w:rsidRPr="000533F9">
        <w:rPr>
          <w:rFonts w:ascii="Times New Roman" w:hAnsi="Times New Roman"/>
          <w:sz w:val="28"/>
          <w:szCs w:val="28"/>
          <w:lang w:val="uk-UA" w:eastAsia="uk-UA"/>
        </w:rPr>
        <w:t>]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60334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>Мотивація виникає із незадоволених потреб і бажання їх задовольнити у випадку успіху. Мотив як складова мотивації знаходиться «всередині» людини, має персональний характер, залежить від багатьох зовнішніх і внутрішніх по відношенню до людини факторів, а також від дії інших мотивів, які виникають паралельно з ним. Мотив не тільки спонукає людину до дії, а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й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 визначає, що треба робити і як буде здійснена ця дія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0701F" w:rsidRPr="000533F9">
        <w:rPr>
          <w:rFonts w:ascii="Times New Roman" w:hAnsi="Times New Roman"/>
          <w:sz w:val="28"/>
          <w:szCs w:val="28"/>
          <w:lang w:val="uk-UA" w:eastAsia="uk-UA"/>
        </w:rPr>
        <w:t>[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1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5</w:t>
      </w:r>
      <w:r w:rsidR="0060701F" w:rsidRPr="000533F9">
        <w:rPr>
          <w:rFonts w:ascii="Times New Roman" w:hAnsi="Times New Roman"/>
          <w:sz w:val="28"/>
          <w:szCs w:val="28"/>
          <w:lang w:val="uk-UA" w:eastAsia="uk-UA"/>
        </w:rPr>
        <w:t>]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>Саме мотиви спонукають до діяльності конкретну людину. Добросовісне виконання однієї і тієї ж роботи можна оцінювати по-різному саме тому, що її мотиви будуть різними. Для однієї людини головним мотивом буде колектив, тому що для неї цінністю є взаємини з іншими людьми, для іншої – зміст її праці, тобто така людина цінить у собі і в інших у першу чергу високий професіоналізм [</w:t>
      </w:r>
      <w:r w:rsidR="00A86205">
        <w:rPr>
          <w:rFonts w:ascii="Times New Roman" w:hAnsi="Times New Roman"/>
          <w:sz w:val="28"/>
          <w:szCs w:val="28"/>
          <w:lang w:val="uk-UA" w:eastAsia="uk-UA"/>
        </w:rPr>
        <w:t>19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]. Для третього головним мотивом може 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бу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ти оплата праці. 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>Саме робота з людьми передбачена в будь-якій професії, на будь-якій посаді. Проте у професійній підготовці студентів, як правило, на це мало звертають уваги, більше акцентуючи увагу і зосереджуючись власне на професійних знаннях та вміннях майбутніх спеціалістів.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Варто зазначити, що більшість мотивів до праці знаходяться у самій праці. Як правило, бажання працювати з’являється у людини, коли вона впевнена в користі, яку вона власною діяльністю може принести людям. Позитивно мотивована людина, зазвичай, прагне працювати і отримує при цьому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lastRenderedPageBreak/>
        <w:t>задоволення</w:t>
      </w:r>
      <w:r w:rsidR="00DD70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D7047" w:rsidRPr="000533F9">
        <w:rPr>
          <w:rFonts w:ascii="Times New Roman" w:hAnsi="Times New Roman"/>
          <w:sz w:val="28"/>
          <w:szCs w:val="28"/>
          <w:lang w:val="uk-UA" w:eastAsia="uk-UA"/>
        </w:rPr>
        <w:t>[</w:t>
      </w:r>
      <w:r w:rsidR="00DD7047">
        <w:rPr>
          <w:rFonts w:ascii="Times New Roman" w:hAnsi="Times New Roman"/>
          <w:sz w:val="28"/>
          <w:szCs w:val="28"/>
          <w:lang w:val="uk-UA" w:eastAsia="uk-UA"/>
        </w:rPr>
        <w:t>15</w:t>
      </w:r>
      <w:r w:rsidR="00DD7047" w:rsidRPr="000533F9">
        <w:rPr>
          <w:rFonts w:ascii="Times New Roman" w:hAnsi="Times New Roman"/>
          <w:sz w:val="28"/>
          <w:szCs w:val="28"/>
          <w:lang w:val="uk-UA" w:eastAsia="uk-UA"/>
        </w:rPr>
        <w:t>]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>. Під час роботи зі студентами на кожному занятті ми формували внутрішню готовність студентів до активної пізнавальної роботи</w:t>
      </w:r>
      <w:r w:rsidR="00DD7047">
        <w:rPr>
          <w:rFonts w:ascii="Times New Roman" w:hAnsi="Times New Roman"/>
          <w:sz w:val="28"/>
          <w:szCs w:val="28"/>
          <w:lang w:val="uk-UA" w:eastAsia="uk-UA"/>
        </w:rPr>
        <w:t xml:space="preserve"> як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 словесно, </w:t>
      </w:r>
      <w:r w:rsidR="00DD7047">
        <w:rPr>
          <w:rFonts w:ascii="Times New Roman" w:hAnsi="Times New Roman"/>
          <w:sz w:val="28"/>
          <w:szCs w:val="28"/>
          <w:lang w:val="uk-UA" w:eastAsia="uk-UA"/>
        </w:rPr>
        <w:t xml:space="preserve">так і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>мімікою, жестами, емоційним забарвленням мови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. П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обуджували пізнавальний інтерес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 завдання, що передбачали реальний вибір мотивів: запитання-меню (закриті запитання); відкриті запитання, що передбачають формулювання повних відповідей респондентами (наприклад, встановлення супідрядний </w:t>
      </w:r>
      <w:proofErr w:type="spellStart"/>
      <w:r w:rsidRPr="000533F9">
        <w:rPr>
          <w:rFonts w:ascii="Times New Roman" w:hAnsi="Times New Roman"/>
          <w:sz w:val="28"/>
          <w:szCs w:val="28"/>
          <w:lang w:val="uk-UA" w:eastAsia="uk-UA"/>
        </w:rPr>
        <w:t>зв’язків</w:t>
      </w:r>
      <w:proofErr w:type="spellEnd"/>
      <w:r w:rsidRPr="000533F9">
        <w:rPr>
          <w:rFonts w:ascii="Times New Roman" w:hAnsi="Times New Roman"/>
          <w:sz w:val="28"/>
          <w:szCs w:val="28"/>
          <w:lang w:val="uk-UA" w:eastAsia="uk-UA"/>
        </w:rPr>
        <w:t>); вправи-змагання (вікторини; запитання, відповіді на які обмежені часом); запитання різного рівня (репродуктивні, творчі, проблемні) та складності.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>Найбільш вагомим мотивом формування професійних інтересів студентів у процесі фахової підготовки є пізнавальний інтерес, який лежить біля підвалин активності й самостійності студента у навчанні. Формування мотивації професійної діяльності є складним процесом, в якому поєднуються інформаційний, прагматичний, соціальний та емоційний аспекти, що розкривають особистісні установки студента і ціннісні орієнтації.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>Важливою умовою формування пізнавальних інтересів студентів у процесі фахової підготовки є забезпечення позитивної мотивації. Викликаючи у студентів почуття задоволення результатами і самим процесом пізнання, упевненість у собі і в майбутньому успіхові, гордість за особисті досягнення і досягнення колективу, радість, цікавість і конструктивний сумнів, – ми стимулювали пізнавальну мотивацію майбутніх фахівців, на основі якої відбувалося формування пізнавального інтересу.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На активізацію мотиваційних компонентів особистості впливають три групи організаційно-педагогічних умов: зміст освітньої діяльності – стимулювання навчальної діяльності забезпечується через актуалізацію професійних цілей і цінностей студентів, особистісних потреб, забезпечення новизни матеріалу, опору на наявний та минулий досвід, усвідомлення значення запропонованого навчального матеріалу для майбутньої професійної діяльності; організація навчального процесу – передбачала створення умов, що забезпечують суб’єктну позицію студентів на всіх етапах навчального заняття: мотиваційному, операційно-пізнавальному, </w:t>
      </w:r>
      <w:proofErr w:type="spellStart"/>
      <w:r w:rsidRPr="000533F9">
        <w:rPr>
          <w:rFonts w:ascii="Times New Roman" w:hAnsi="Times New Roman"/>
          <w:sz w:val="28"/>
          <w:szCs w:val="28"/>
          <w:lang w:val="uk-UA" w:eastAsia="uk-UA"/>
        </w:rPr>
        <w:t>оціночно</w:t>
      </w:r>
      <w:proofErr w:type="spellEnd"/>
      <w:r w:rsidRPr="000533F9">
        <w:rPr>
          <w:rFonts w:ascii="Times New Roman" w:hAnsi="Times New Roman"/>
          <w:sz w:val="28"/>
          <w:szCs w:val="28"/>
          <w:lang w:val="uk-UA" w:eastAsia="uk-UA"/>
        </w:rPr>
        <w:t>-рефлексивному етапі; форми та методи навчання студентів повинні активізувати діяльність студентів, служити їх розумовому розвиткові (проблемне, комунікативне навчання); власна активність особистості, що реалізується в самостійній і позаурочній роботі, яка спрямована на вирішення проблемних завдань і питань, виконання науково-дослідних творчих робіт студентів, виступає визначальним чинником результативності освітнього процесу і важливою умовою формування мотивації навчання студентів.</w:t>
      </w:r>
    </w:p>
    <w:p w:rsidR="000533F9" w:rsidRPr="000533F9" w:rsidRDefault="000533F9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3F9">
        <w:rPr>
          <w:rFonts w:ascii="Times New Roman" w:hAnsi="Times New Roman"/>
          <w:sz w:val="28"/>
          <w:szCs w:val="28"/>
          <w:lang w:val="uk-UA" w:eastAsia="uk-UA"/>
        </w:rPr>
        <w:t>Спираючись на аналіз психолого-педагогічної літератури</w:t>
      </w:r>
      <w:r w:rsidR="00D6033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0334" w:rsidRPr="000533F9">
        <w:rPr>
          <w:rFonts w:ascii="Times New Roman" w:hAnsi="Times New Roman"/>
          <w:sz w:val="28"/>
          <w:szCs w:val="28"/>
          <w:lang w:val="uk-UA" w:eastAsia="uk-UA"/>
        </w:rPr>
        <w:t>[</w:t>
      </w:r>
      <w:r w:rsidR="00D60334">
        <w:rPr>
          <w:rFonts w:ascii="Times New Roman" w:hAnsi="Times New Roman"/>
          <w:sz w:val="28"/>
          <w:szCs w:val="28"/>
          <w:lang w:val="uk-UA" w:eastAsia="uk-UA"/>
        </w:rPr>
        <w:t>1–</w:t>
      </w:r>
      <w:r w:rsidR="00A86205">
        <w:rPr>
          <w:rFonts w:ascii="Times New Roman" w:hAnsi="Times New Roman"/>
          <w:sz w:val="28"/>
          <w:szCs w:val="28"/>
          <w:lang w:val="uk-UA" w:eastAsia="uk-UA"/>
        </w:rPr>
        <w:t>20</w:t>
      </w:r>
      <w:r w:rsidR="00D60334">
        <w:rPr>
          <w:rFonts w:ascii="Times New Roman" w:hAnsi="Times New Roman"/>
          <w:sz w:val="28"/>
          <w:szCs w:val="28"/>
          <w:lang w:val="uk-UA" w:eastAsia="uk-UA"/>
        </w:rPr>
        <w:t xml:space="preserve"> та ін.</w:t>
      </w:r>
      <w:r w:rsidR="00D60334" w:rsidRPr="000533F9">
        <w:rPr>
          <w:rFonts w:ascii="Times New Roman" w:hAnsi="Times New Roman"/>
          <w:sz w:val="28"/>
          <w:szCs w:val="28"/>
          <w:lang w:val="uk-UA" w:eastAsia="uk-UA"/>
        </w:rPr>
        <w:t>]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 і практики роботи зі студентами, ми визначили критерії забезпечення мотиваційного компоненту. Ними є: орієнтація на інтерес до пізнавальної діяльності; орієнтація на реалізацію себе (власних здібностей, особистісних якостей, можливостей); рівень самостійності і активності студента.</w:t>
      </w:r>
    </w:p>
    <w:p w:rsidR="000533F9" w:rsidRDefault="00DD7047" w:rsidP="0005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</w:t>
      </w:r>
      <w:bookmarkStart w:id="0" w:name="_GoBack"/>
      <w:bookmarkEnd w:id="0"/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t xml:space="preserve">роведене дослідження дає підстави стверджувати, що найбільшим резервом поліпшення ефективності як навчання студентів, так і роботи фахівця, </w:t>
      </w:r>
      <w:r w:rsidR="000533F9" w:rsidRPr="000533F9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є підвищення мотивації особистості. Мотивація навчальної діяльності – це сукупність внутрішніх і зовнішніх мотивів, а також ставлень до самого себе, до інших людей, до оточуючого середовища. Вона характеризується множинністю, структурованою ієрархічністю, спрямованістю мотивів, їх силою і стійкістю. Це, в свою чергу, визначає, впливає і регулює діяльність особистості. </w:t>
      </w:r>
    </w:p>
    <w:p w:rsidR="0060701F" w:rsidRDefault="0060701F" w:rsidP="00963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="0060701F"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наук</w:t>
      </w:r>
      <w:r w:rsidR="0060701F"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60701F"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. К. : Київ. ун-т ім. Б. Грінченка, 2017. 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С. 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>132–134.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Лебедик Л. В. Дидактичні можливості електронних підручників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F1BCF">
        <w:rPr>
          <w:rFonts w:ascii="Times New Roman" w:hAnsi="Times New Roman"/>
          <w:i/>
          <w:sz w:val="28"/>
          <w:szCs w:val="28"/>
          <w:lang w:val="uk-UA" w:eastAsia="uk-UA"/>
        </w:rPr>
        <w:t>Сучасна середня освіта: інновації, методологія, теорія, практика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. Тези доповідей на міжрегіональній науково-практичній конференції, 7 жовтня 2014 р. / За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>. ред. І. М. Бобер. Кременчук : ПП Щерб</w:t>
      </w:r>
      <w:r>
        <w:rPr>
          <w:rFonts w:ascii="Times New Roman" w:hAnsi="Times New Roman"/>
          <w:sz w:val="28"/>
          <w:szCs w:val="28"/>
          <w:lang w:val="uk-UA" w:eastAsia="uk-UA"/>
        </w:rPr>
        <w:t>атих О. В., 2014. С. 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171–173.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матеріалів ІІ регіонал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20 лист. 2018 року). / </w:t>
      </w:r>
      <w:proofErr w:type="spellStart"/>
      <w:r w:rsidR="0060701F">
        <w:rPr>
          <w:rFonts w:ascii="Times New Roman" w:hAnsi="Times New Roman"/>
          <w:sz w:val="28"/>
          <w:szCs w:val="28"/>
          <w:lang w:val="uk-UA" w:eastAsia="uk-UA"/>
        </w:rPr>
        <w:t>укл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9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матеріалів ІІ регіонал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2018 року). /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укл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9632E2" w:rsidRPr="00355BCB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9632E2" w:rsidRDefault="009632E2" w:rsidP="009632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Стрельніков В. Ю. Педагогічні основи забезпечення особистісного і професійного розвитку студентів засобами інноваційних технологій навчання. Полтава : РВВ ПУСКУ, 2002.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 xml:space="preserve">. 1. 295 с. 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>. 2. 230 с.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Підготовка викладачів на курсах підвищення кваліфікації до впровадження системи електронного навчання. </w:t>
      </w:r>
      <w:r w:rsidRPr="007F1BCF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2017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. тез ІV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наук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6070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, 18 трав. 2017 р., м. Київ / Київ. ун-т ім. Б. Грінченка;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>. : М. М. Астаф’єва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та ін. К. : Київ. ун-т ім. Б. 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Грінченка, 2017. С. 254–256.</w:t>
      </w:r>
    </w:p>
    <w:p w:rsidR="009632E2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9632E2" w:rsidRPr="00DA0208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В.Ю. Проектування вчителем інтерактивних технологій навчання на основі електронних освітніх ресурсів. </w:t>
      </w:r>
      <w:r w:rsidRPr="007F1BCF">
        <w:rPr>
          <w:rFonts w:ascii="Times New Roman" w:hAnsi="Times New Roman"/>
          <w:i/>
          <w:sz w:val="28"/>
          <w:szCs w:val="28"/>
          <w:lang w:val="uk-UA" w:eastAsia="uk-UA"/>
        </w:rPr>
        <w:t>Фізико-математична освіта : науковий журнал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, 2017.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>. 4(14). С. 349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352.</w:t>
      </w:r>
    </w:p>
    <w:p w:rsidR="009632E2" w:rsidRPr="000533F9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В.Ю. Проектування </w:t>
      </w:r>
      <w:proofErr w:type="spellStart"/>
      <w:r w:rsidRPr="000533F9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Pr="000533F9">
        <w:rPr>
          <w:rFonts w:ascii="Times New Roman" w:hAnsi="Times New Roman"/>
          <w:sz w:val="28"/>
          <w:szCs w:val="28"/>
          <w:lang w:val="uk-UA" w:eastAsia="uk-UA"/>
        </w:rPr>
        <w:t>-орієнтованої дидактичної системи підготовки бакалаврів економіки</w:t>
      </w:r>
      <w:r w:rsidR="006070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>: монографія. Полтава: РВЦ ПУСКУ, 2006. 335 с.</w:t>
      </w:r>
    </w:p>
    <w:p w:rsidR="000533F9" w:rsidRPr="000533F9" w:rsidRDefault="009632E2" w:rsidP="0096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96. К. : В</w:t>
      </w:r>
      <w:r>
        <w:rPr>
          <w:rFonts w:ascii="Times New Roman" w:hAnsi="Times New Roman"/>
          <w:sz w:val="28"/>
          <w:szCs w:val="28"/>
          <w:lang w:val="uk-UA" w:eastAsia="uk-UA"/>
        </w:rPr>
        <w:t>ПЦ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«Київський університет», 2010. С. 151–156.</w:t>
      </w:r>
    </w:p>
    <w:sectPr w:rsidR="000533F9" w:rsidRPr="000533F9" w:rsidSect="004C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030"/>
    <w:multiLevelType w:val="hybridMultilevel"/>
    <w:tmpl w:val="B122FC8E"/>
    <w:lvl w:ilvl="0" w:tplc="C450CF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AE45E2"/>
    <w:multiLevelType w:val="hybridMultilevel"/>
    <w:tmpl w:val="5FEC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309A9"/>
    <w:multiLevelType w:val="hybridMultilevel"/>
    <w:tmpl w:val="028C048E"/>
    <w:lvl w:ilvl="0" w:tplc="3A82FC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5CF1D7F"/>
    <w:multiLevelType w:val="hybridMultilevel"/>
    <w:tmpl w:val="72129E68"/>
    <w:lvl w:ilvl="0" w:tplc="67AEE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EA4AB6"/>
    <w:multiLevelType w:val="hybridMultilevel"/>
    <w:tmpl w:val="B84CDC5C"/>
    <w:lvl w:ilvl="0" w:tplc="7C24E8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08C8"/>
    <w:multiLevelType w:val="hybridMultilevel"/>
    <w:tmpl w:val="27A2B402"/>
    <w:lvl w:ilvl="0" w:tplc="D96A2FD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436AB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6696A3F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7B77523"/>
    <w:multiLevelType w:val="multilevel"/>
    <w:tmpl w:val="C64021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08"/>
    <w:rsid w:val="000533F9"/>
    <w:rsid w:val="00092C96"/>
    <w:rsid w:val="001D256E"/>
    <w:rsid w:val="00264B85"/>
    <w:rsid w:val="00265214"/>
    <w:rsid w:val="00281BC9"/>
    <w:rsid w:val="004075D8"/>
    <w:rsid w:val="00407882"/>
    <w:rsid w:val="004756EE"/>
    <w:rsid w:val="004909B8"/>
    <w:rsid w:val="004C4950"/>
    <w:rsid w:val="0059015E"/>
    <w:rsid w:val="005A18F2"/>
    <w:rsid w:val="005B1BA0"/>
    <w:rsid w:val="005C71C6"/>
    <w:rsid w:val="0060701F"/>
    <w:rsid w:val="00712AE1"/>
    <w:rsid w:val="007579DB"/>
    <w:rsid w:val="007D1766"/>
    <w:rsid w:val="007F1BCF"/>
    <w:rsid w:val="009632E2"/>
    <w:rsid w:val="00A86205"/>
    <w:rsid w:val="00B369E4"/>
    <w:rsid w:val="00B57F6C"/>
    <w:rsid w:val="00BE4F3F"/>
    <w:rsid w:val="00D60334"/>
    <w:rsid w:val="00DA0208"/>
    <w:rsid w:val="00DC221F"/>
    <w:rsid w:val="00DD7047"/>
    <w:rsid w:val="00E90102"/>
    <w:rsid w:val="00ED5188"/>
    <w:rsid w:val="00F27BEF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224"/>
  <w15:chartTrackingRefBased/>
  <w15:docId w15:val="{60708BF6-BC40-47E7-99A5-666F9D8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0208"/>
    <w:pPr>
      <w:ind w:left="720"/>
      <w:contextualSpacing/>
    </w:pPr>
  </w:style>
  <w:style w:type="paragraph" w:styleId="a3">
    <w:name w:val="List Paragraph"/>
    <w:basedOn w:val="a"/>
    <w:uiPriority w:val="34"/>
    <w:qFormat/>
    <w:rsid w:val="00DA0208"/>
    <w:pPr>
      <w:ind w:left="720"/>
      <w:contextualSpacing/>
    </w:pPr>
  </w:style>
  <w:style w:type="character" w:customStyle="1" w:styleId="FontStyle50">
    <w:name w:val="Font Style50"/>
    <w:rsid w:val="00DC22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7716</Words>
  <Characters>4399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2019-10-01T17:17:00Z</dcterms:created>
  <dcterms:modified xsi:type="dcterms:W3CDTF">2019-10-02T13:58:00Z</dcterms:modified>
</cp:coreProperties>
</file>