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30BE">
      <w:pPr>
        <w:spacing w:line="360" w:lineRule="auto"/>
        <w:jc w:val="center"/>
        <w:rPr>
          <w:lang w:val="uk-UA"/>
        </w:rPr>
      </w:pPr>
      <w:r>
        <w:rPr>
          <w:lang w:val="uk-UA"/>
        </w:rPr>
        <w:t>ХАРКІВСЬКИЙ  НАЦІОНАЛЬНИЙ УНІВЕРСИТЕТ</w:t>
      </w:r>
    </w:p>
    <w:p w:rsidR="00000000" w:rsidRDefault="000130BE">
      <w:pPr>
        <w:spacing w:line="360" w:lineRule="auto"/>
        <w:jc w:val="center"/>
        <w:rPr>
          <w:lang w:val="uk-UA"/>
        </w:rPr>
      </w:pPr>
      <w:r>
        <w:rPr>
          <w:lang w:val="uk-UA"/>
        </w:rPr>
        <w:t>імені В.Н.КАРАЗІНА</w:t>
      </w: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  <w:bookmarkStart w:id="0" w:name="_GoBack"/>
      <w:bookmarkEnd w:id="0"/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ЯРІШ ОЛЕНА ВАЛЕНТИНІВНА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УДК 336.763.2 (477.53)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pStyle w:val="2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ІНВЕСТИ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ЦІЙНА ПРИВАБЛИВІСТЬ АКЦІЙ</w:t>
      </w:r>
    </w:p>
    <w:p w:rsidR="00000000" w:rsidRDefault="000130BE">
      <w:pPr>
        <w:pStyle w:val="2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ВІДКРИТИХ АКЦІОНЕРНИХ ТОВАРИСТВ</w:t>
      </w:r>
    </w:p>
    <w:p w:rsidR="00000000" w:rsidRDefault="000130BE">
      <w:pPr>
        <w:pStyle w:val="2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(на матеріалах Полтавської області)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pStyle w:val="2"/>
        <w:ind w:firstLine="126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Спеціальність 08.04.01 —  фінанси, грошовий обіг і кредит</w:t>
      </w: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АВТОРЕФЕРАТ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  <w:r>
        <w:rPr>
          <w:lang w:val="uk-UA"/>
        </w:rPr>
        <w:t>дисертації на здобуття наукового ступеня</w:t>
      </w:r>
    </w:p>
    <w:p w:rsidR="00000000" w:rsidRDefault="000130BE">
      <w:pPr>
        <w:spacing w:line="360" w:lineRule="auto"/>
        <w:jc w:val="center"/>
        <w:rPr>
          <w:lang w:val="uk-UA"/>
        </w:rPr>
      </w:pPr>
      <w:r>
        <w:rPr>
          <w:lang w:val="uk-UA"/>
        </w:rPr>
        <w:t>кандидата економічних наук</w:t>
      </w: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</w:rPr>
      </w:pPr>
      <w:r>
        <w:rPr>
          <w:b/>
          <w:bCs/>
          <w:lang w:val="uk-UA"/>
        </w:rPr>
        <w:t>Ха</w:t>
      </w:r>
      <w:r>
        <w:rPr>
          <w:b/>
          <w:bCs/>
          <w:lang w:val="uk-UA"/>
        </w:rPr>
        <w:t>рків – 200</w:t>
      </w:r>
      <w:r>
        <w:rPr>
          <w:b/>
          <w:bCs/>
        </w:rPr>
        <w:t>5</w:t>
      </w:r>
    </w:p>
    <w:p w:rsidR="00000000" w:rsidRDefault="000130BE">
      <w:pPr>
        <w:spacing w:line="360" w:lineRule="auto"/>
        <w:jc w:val="both"/>
        <w:rPr>
          <w:lang w:val="uk-UA"/>
        </w:rPr>
      </w:pPr>
    </w:p>
    <w:p w:rsidR="00000000" w:rsidRDefault="000130BE">
      <w:pPr>
        <w:spacing w:line="360" w:lineRule="auto"/>
        <w:jc w:val="both"/>
        <w:rPr>
          <w:lang w:val="uk-UA"/>
        </w:rPr>
      </w:pP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>Дисертацією є рукопис.</w:t>
      </w: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t>Робота виконана в Харківському національному університеті ім. В.Н. Каразіна Міністерства освіти і науки України.</w:t>
      </w:r>
    </w:p>
    <w:p w:rsidR="00000000" w:rsidRDefault="000130BE">
      <w:pPr>
        <w:spacing w:line="360" w:lineRule="auto"/>
        <w:jc w:val="both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Науковий керівник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кандидат економічних наук, доцент </w:t>
            </w:r>
          </w:p>
          <w:p w:rsidR="00000000" w:rsidRDefault="000130BE">
            <w:pPr>
              <w:spacing w:line="360" w:lineRule="auto"/>
              <w:ind w:left="360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Давидов Олександр Іванович</w:t>
            </w:r>
            <w:r>
              <w:rPr>
                <w:lang w:val="uk-UA"/>
              </w:rPr>
              <w:t xml:space="preserve">, </w:t>
            </w:r>
          </w:p>
          <w:p w:rsidR="00000000" w:rsidRDefault="000130BE">
            <w:pPr>
              <w:spacing w:line="360" w:lineRule="auto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Харківський націонал</w:t>
            </w:r>
            <w:r>
              <w:rPr>
                <w:lang w:val="uk-UA"/>
              </w:rPr>
              <w:t xml:space="preserve">ьний університет </w:t>
            </w:r>
          </w:p>
          <w:p w:rsidR="00000000" w:rsidRDefault="000130BE">
            <w:pPr>
              <w:spacing w:line="360" w:lineRule="auto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ім. В.Н. Каразіна доцент кафедри </w:t>
            </w:r>
          </w:p>
          <w:p w:rsidR="00000000" w:rsidRDefault="000130BE">
            <w:pPr>
              <w:spacing w:line="360" w:lineRule="auto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фінансів та кредиту </w:t>
            </w:r>
          </w:p>
          <w:p w:rsidR="00000000" w:rsidRDefault="000130BE">
            <w:pPr>
              <w:spacing w:line="360" w:lineRule="auto"/>
              <w:ind w:left="360"/>
              <w:jc w:val="both"/>
              <w:rPr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Офіційні опоненти: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доктор економічних наук, професор </w:t>
            </w:r>
          </w:p>
          <w:p w:rsidR="00000000" w:rsidRDefault="000130BE">
            <w:pPr>
              <w:spacing w:line="360" w:lineRule="auto"/>
              <w:ind w:left="432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Крамаренко Галина Олександрівна</w:t>
            </w:r>
            <w:r>
              <w:rPr>
                <w:lang w:val="uk-UA"/>
              </w:rPr>
              <w:t>,   Дніпропетровський університет економіки та права, завідувач кафедри  фінансів та банківськ</w:t>
            </w:r>
            <w:r>
              <w:rPr>
                <w:lang w:val="uk-UA"/>
              </w:rPr>
              <w:t xml:space="preserve">ої справи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кандидат економічних наук, доцент </w:t>
            </w:r>
          </w:p>
          <w:p w:rsidR="00000000" w:rsidRDefault="000130BE">
            <w:pPr>
              <w:spacing w:line="360" w:lineRule="auto"/>
              <w:ind w:left="432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Петленко Юлія Володимирівна</w:t>
            </w:r>
            <w:r>
              <w:rPr>
                <w:lang w:val="uk-UA"/>
              </w:rPr>
              <w:t xml:space="preserve">, </w:t>
            </w:r>
          </w:p>
          <w:p w:rsidR="00000000" w:rsidRDefault="000130BE">
            <w:pPr>
              <w:spacing w:line="360" w:lineRule="auto"/>
              <w:ind w:left="43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Київський національний університет</w:t>
            </w:r>
          </w:p>
          <w:p w:rsidR="00000000" w:rsidRDefault="000130BE">
            <w:pPr>
              <w:spacing w:line="360" w:lineRule="auto"/>
              <w:ind w:left="43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імені Тараса Шевченка, </w:t>
            </w:r>
            <w:r>
              <w:rPr>
                <w:lang w:val="uk-UA"/>
              </w:rPr>
              <w:t xml:space="preserve">доцент кафедри фінансів, грошового обігу та кредиту </w:t>
            </w:r>
          </w:p>
          <w:p w:rsidR="00000000" w:rsidRDefault="000130BE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Провідна установа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30BE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32" w:hanging="72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Донецький національний університет</w:t>
            </w:r>
            <w:r>
              <w:rPr>
                <w:lang w:val="uk-UA"/>
              </w:rPr>
              <w:t xml:space="preserve"> Мініст</w:t>
            </w:r>
            <w:r>
              <w:rPr>
                <w:lang w:val="uk-UA"/>
              </w:rPr>
              <w:t xml:space="preserve">ерства освіти і науки України, </w:t>
            </w:r>
          </w:p>
          <w:p w:rsidR="00000000" w:rsidRDefault="000130BE">
            <w:pPr>
              <w:spacing w:line="360" w:lineRule="auto"/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 м. Донецьк, кафедра фінансів і банківської справи.</w:t>
            </w:r>
          </w:p>
        </w:tc>
      </w:tr>
    </w:tbl>
    <w:p w:rsidR="00000000" w:rsidRDefault="000130BE">
      <w:pPr>
        <w:spacing w:line="360" w:lineRule="auto"/>
        <w:rPr>
          <w:lang w:val="uk-UA"/>
        </w:rPr>
      </w:pP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t>Захист відбудеться 22 квітня 200</w:t>
      </w:r>
      <w:r>
        <w:t>5</w:t>
      </w:r>
      <w:r>
        <w:rPr>
          <w:lang w:val="uk-UA"/>
        </w:rPr>
        <w:t xml:space="preserve"> р. о 16.00 годині на засіданні спеціалізованої вченої ради           Д 64.051.01 Харківського національного університету ім. В.Н. Каразі</w:t>
      </w:r>
      <w:r>
        <w:rPr>
          <w:lang w:val="uk-UA"/>
        </w:rPr>
        <w:t xml:space="preserve">на  за адресою: 61002,               м. Харків, вул. Миронисицька, 1, ауд. 4-11.  </w:t>
      </w:r>
    </w:p>
    <w:p w:rsidR="00000000" w:rsidRDefault="000130BE">
      <w:pPr>
        <w:spacing w:line="360" w:lineRule="auto"/>
        <w:jc w:val="both"/>
        <w:rPr>
          <w:lang w:val="uk-UA"/>
        </w:rPr>
      </w:pP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t>З дисертацією можна ознайомитися у Центральній науковій бібліотеці Харківського національного університету ім. В.Н. Каразіна за адресою: 61077, м. Харків, майдан Свободи, 4</w:t>
      </w:r>
      <w:r>
        <w:rPr>
          <w:lang w:val="uk-UA"/>
        </w:rPr>
        <w:t>.</w:t>
      </w:r>
    </w:p>
    <w:p w:rsidR="00000000" w:rsidRDefault="000130BE">
      <w:pPr>
        <w:spacing w:line="360" w:lineRule="auto"/>
        <w:jc w:val="both"/>
        <w:rPr>
          <w:lang w:val="uk-UA"/>
        </w:rPr>
      </w:pP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t>Автореферат розісланий 22 березня 200</w:t>
      </w:r>
      <w:r>
        <w:t>5</w:t>
      </w:r>
      <w:r>
        <w:rPr>
          <w:lang w:val="uk-UA"/>
        </w:rPr>
        <w:t xml:space="preserve"> р.</w:t>
      </w:r>
    </w:p>
    <w:p w:rsidR="00000000" w:rsidRDefault="000130BE">
      <w:pPr>
        <w:spacing w:line="360" w:lineRule="auto"/>
        <w:jc w:val="both"/>
        <w:rPr>
          <w:lang w:val="uk-UA"/>
        </w:rPr>
      </w:pP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t>Вчений секретар</w:t>
      </w: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t>спеціалізованої вченої ради                                                              Соболєв В.М.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ЗАГАЛЬНА ХАРАКТЕРИСТИКА ДИСЕРТАЦІЙНОЇ РОБОТИ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Актуальність теми дослідження</w:t>
      </w:r>
      <w:r>
        <w:rPr>
          <w:sz w:val="24"/>
          <w:szCs w:val="24"/>
        </w:rPr>
        <w:t>. Реформування ек</w:t>
      </w:r>
      <w:r>
        <w:rPr>
          <w:sz w:val="24"/>
          <w:szCs w:val="24"/>
        </w:rPr>
        <w:t>ономіки в Україні перш за все позначилося на удосконаленні господарських зв’язків та сприяло розвитку підприємницьких структур різних форм власності. Особливого значення в таких умовах набула акціонерна форма господарювання. Завдяки широким можливостям моб</w:t>
      </w:r>
      <w:r>
        <w:rPr>
          <w:sz w:val="24"/>
          <w:szCs w:val="24"/>
        </w:rPr>
        <w:t xml:space="preserve">ілізації фінансових ресурсів її поширення активізувало розвиток фондового ринку та обумовило необхідність комплексного дослідження і теоретичного обґрунтування питань, пов’язаних з інвестиційною привабливістю акцій. </w:t>
      </w:r>
    </w:p>
    <w:p w:rsidR="00000000" w:rsidRDefault="000130BE">
      <w:pPr>
        <w:pStyle w:val="Web"/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Аналіз законодавчого забезпечення ринку</w:t>
      </w:r>
      <w:r>
        <w:rPr>
          <w:lang w:val="uk-UA"/>
        </w:rPr>
        <w:t xml:space="preserve"> цінних паперів дозволив  дійти висновку, що формування методології оцінки інвестиційної привабливості акцій в Україні на сучасному етапі знаходиться на початковій стадії. Про це свідчить відсутність у законодавчій базі поняття інвестиційної привабливості </w:t>
      </w:r>
      <w:r>
        <w:rPr>
          <w:lang w:val="uk-UA"/>
        </w:rPr>
        <w:t>цінних паперів взагалі і, акцій зокрема,  а також загальновизнаних принципів та методик її кількісної оцінки.</w:t>
      </w:r>
    </w:p>
    <w:p w:rsidR="00000000" w:rsidRDefault="000130BE">
      <w:pPr>
        <w:pStyle w:val="2"/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>Тому в специфічних умовах функціонування фондового ринку в Україні,  пов’язаних із недостатнім організаційним і інформаційним забезпеченням механі</w:t>
      </w:r>
      <w:r>
        <w:rPr>
          <w:sz w:val="24"/>
          <w:szCs w:val="24"/>
        </w:rPr>
        <w:t>зму обігу акцій, удосконалення методичного інструментарію діагностики їх інвестиційної привабливості є необхідною умовою підвищення ефективності інвестиційної діяльності інвесторів при розміщенні фінансового капіталу  на ринку цінних паперів. Це забезпечил</w:t>
      </w:r>
      <w:r>
        <w:rPr>
          <w:sz w:val="24"/>
          <w:szCs w:val="24"/>
        </w:rPr>
        <w:t>о б інвестору, з одного боку, реалізацію поставлених ним цілей та захист від можливих „недоброякісних ” (фіктивних) емітентів цінних паперів - з іншого.</w:t>
      </w:r>
      <w:r>
        <w:rPr>
          <w:i/>
          <w:iCs/>
          <w:sz w:val="24"/>
          <w:szCs w:val="24"/>
        </w:rPr>
        <w:t xml:space="preserve">  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Дослідження акцій як фінансового інструмента знайшли своє відображення у наукових  працях таких відом</w:t>
      </w:r>
      <w:r>
        <w:rPr>
          <w:sz w:val="24"/>
          <w:szCs w:val="24"/>
        </w:rPr>
        <w:t>их зарубіжних економістів, як Г.Дж.Александер,   Ф.Бергер, Дж.В.Бейлі, Є.</w:t>
      </w:r>
      <w:r>
        <w:rPr>
          <w:spacing w:val="-8"/>
          <w:sz w:val="24"/>
          <w:szCs w:val="24"/>
        </w:rPr>
        <w:t xml:space="preserve">Бредлі, </w:t>
      </w:r>
      <w:r>
        <w:rPr>
          <w:sz w:val="24"/>
          <w:szCs w:val="24"/>
        </w:rPr>
        <w:t>Є.Брігхем,  Б.Вільямс, Л.Дж.Гітман, Б.Грем, М.Джонк,  Л.Енджел, С.Майерс, Т.А.Мейерс,  М.Міллер, Фр.Модільяні,  Р.Тьюлз, Т.Тьюлз, У.Шарп, Дж.Швагер, Ю.Фама, та ін. Серед  відо</w:t>
      </w:r>
      <w:r>
        <w:rPr>
          <w:sz w:val="24"/>
          <w:szCs w:val="24"/>
        </w:rPr>
        <w:t>мих  російських  вчених,  які досліджують проблему інвестування у цінні папери, слід згадати  А.О.Алпатова, Б.І. Альохіна, М.А.Гольцберга, В.Н.Єдронову, А.П.Іванова, Є.А.Мізіковського, Я.М.Міркіна.  Значний внесок  у теорію фінансового інвестування  зробил</w:t>
      </w:r>
      <w:r>
        <w:rPr>
          <w:sz w:val="24"/>
          <w:szCs w:val="24"/>
        </w:rPr>
        <w:t>и вітчизняні економісти, серед яких варто відзначити  І.О.Бланка, О.І.Давидова, В.С.Загорського, Ю.Я.Кравченка, Г.О.Крамаренко, О.Г.Мендрула, О.В.Мертенса, О.М.Мозгового, С.В.Науменкову, В.В.Оскольского,  І.А.Павленко, Ю.В.Петленко, Ю.Є.Петруню, В.М. Собол</w:t>
      </w:r>
      <w:r>
        <w:rPr>
          <w:sz w:val="24"/>
          <w:szCs w:val="24"/>
        </w:rPr>
        <w:t xml:space="preserve">єва. 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У наукових працях вітчизняних учених висвітлені переважно загальнотеоретичні аспекти інвестування на ринку акцій, проте недостатньо розкриті  методичні підходи до діагностики  їх інвестиційної привабливості. Існує також необхідність конкретизації тео</w:t>
      </w:r>
      <w:r>
        <w:rPr>
          <w:sz w:val="24"/>
          <w:szCs w:val="24"/>
        </w:rPr>
        <w:t>ретичних підходів до визначення сутності поняття „інвестиційна привабливість акцій” та вдосконалення методичного інструментарію її оцінки.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Актуальність зазначених проблем в умовах низької інвестиційної активності організованого ринку акцій в Україні, їх не</w:t>
      </w:r>
      <w:r>
        <w:rPr>
          <w:sz w:val="24"/>
          <w:szCs w:val="24"/>
        </w:rPr>
        <w:t>достатнє теоретичне і практичне розкриття зумовили необхідність проведення дослідження і визначили тему кандидатської дисертації.</w:t>
      </w:r>
    </w:p>
    <w:p w:rsidR="00000000" w:rsidRDefault="000130BE">
      <w:pPr>
        <w:pStyle w:val="a4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Зв’язок роботи з науковими програмами, планами, темами.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>Дисертаційна робота виконана згідно з планами наукових досліджень кафе</w:t>
      </w:r>
      <w:r>
        <w:rPr>
          <w:b w:val="0"/>
          <w:bCs w:val="0"/>
          <w:sz w:val="24"/>
          <w:szCs w:val="24"/>
        </w:rPr>
        <w:t>дри фінансів та кредиту Харківського національного університету ім. В.Н.Каразіна і є складовою теми „Дослідження впливу фінансово-кредитного механізму на розвиток суб’єктів господарювання” (№ державної реєстрації 0104</w:t>
      </w:r>
      <w:r>
        <w:rPr>
          <w:b w:val="0"/>
          <w:bCs w:val="0"/>
          <w:sz w:val="24"/>
          <w:szCs w:val="24"/>
          <w:lang w:val="en-US"/>
        </w:rPr>
        <w:t>V</w:t>
      </w:r>
      <w:r>
        <w:rPr>
          <w:b w:val="0"/>
          <w:bCs w:val="0"/>
          <w:sz w:val="24"/>
          <w:szCs w:val="24"/>
        </w:rPr>
        <w:t>008305).</w:t>
      </w:r>
    </w:p>
    <w:p w:rsidR="00000000" w:rsidRDefault="000130BE">
      <w:pPr>
        <w:pStyle w:val="a4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Мета і задачі дослідження.</w:t>
      </w:r>
      <w:r>
        <w:rPr>
          <w:b w:val="0"/>
          <w:bCs w:val="0"/>
          <w:sz w:val="24"/>
          <w:szCs w:val="24"/>
        </w:rPr>
        <w:t xml:space="preserve"> Ме</w:t>
      </w:r>
      <w:r>
        <w:rPr>
          <w:b w:val="0"/>
          <w:bCs w:val="0"/>
          <w:sz w:val="24"/>
          <w:szCs w:val="24"/>
        </w:rPr>
        <w:t>тою дисертації є визначення основних чинників, що впливають на результати розміщення фінансового капіталу інвесторів на ринку акцій, а також розробка теоретичних положень і практичних рекомендацій, спрямованих на удосконалення методики оцінки інвестиційної</w:t>
      </w:r>
      <w:r>
        <w:rPr>
          <w:b w:val="0"/>
          <w:bCs w:val="0"/>
          <w:sz w:val="24"/>
          <w:szCs w:val="24"/>
        </w:rPr>
        <w:t xml:space="preserve"> привабливості акцій відкритих акціонерних товариств. 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Відповідно до поставленої мети в дисертаційній роботі вирішувалися такі задачі :</w:t>
      </w:r>
    </w:p>
    <w:p w:rsidR="00000000" w:rsidRDefault="000130BE">
      <w:pPr>
        <w:numPr>
          <w:ilvl w:val="0"/>
          <w:numId w:val="1"/>
        </w:numPr>
        <w:tabs>
          <w:tab w:val="clear" w:pos="1069"/>
          <w:tab w:val="num" w:pos="-2700"/>
          <w:tab w:val="left" w:pos="108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t>дослідити економічну сутність та зміст поняття „інвестиційна привабливість акцій”;</w:t>
      </w:r>
    </w:p>
    <w:p w:rsidR="00000000" w:rsidRDefault="000130BE">
      <w:pPr>
        <w:numPr>
          <w:ilvl w:val="0"/>
          <w:numId w:val="1"/>
        </w:numPr>
        <w:tabs>
          <w:tab w:val="clear" w:pos="1069"/>
          <w:tab w:val="num" w:pos="-2700"/>
          <w:tab w:val="left" w:pos="108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t>визначити і систематизувати фак</w:t>
      </w:r>
      <w:r>
        <w:rPr>
          <w:lang w:val="uk-UA"/>
        </w:rPr>
        <w:t>тори, що впливають на інвестиційну привабливість акцій відкритих акціонерних товариств;</w:t>
      </w:r>
    </w:p>
    <w:p w:rsidR="00000000" w:rsidRDefault="000130BE">
      <w:pPr>
        <w:numPr>
          <w:ilvl w:val="0"/>
          <w:numId w:val="1"/>
        </w:numPr>
        <w:tabs>
          <w:tab w:val="clear" w:pos="1069"/>
          <w:tab w:val="num" w:pos="-2700"/>
          <w:tab w:val="left" w:pos="108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t>визначити економічні й організаційні особливості відкритих акціонерних товариств та їх вплив на формування інвестиційної привабливості акцій;</w:t>
      </w:r>
    </w:p>
    <w:p w:rsidR="00000000" w:rsidRDefault="000130BE">
      <w:pPr>
        <w:numPr>
          <w:ilvl w:val="0"/>
          <w:numId w:val="1"/>
        </w:numPr>
        <w:tabs>
          <w:tab w:val="clear" w:pos="1069"/>
          <w:tab w:val="num" w:pos="-2700"/>
          <w:tab w:val="left" w:pos="108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t>дослідити вплив осно</w:t>
      </w:r>
      <w:r>
        <w:rPr>
          <w:lang w:val="uk-UA"/>
        </w:rPr>
        <w:t>вних макроекономічних показників України на активність інвестиційних операцій на  організованому ринку акцій;</w:t>
      </w:r>
    </w:p>
    <w:p w:rsidR="00000000" w:rsidRDefault="000130BE">
      <w:pPr>
        <w:numPr>
          <w:ilvl w:val="0"/>
          <w:numId w:val="1"/>
        </w:numPr>
        <w:tabs>
          <w:tab w:val="clear" w:pos="1069"/>
          <w:tab w:val="num" w:pos="-2700"/>
          <w:tab w:val="left" w:pos="108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t>провести аналіз стану та тенденцій розвитку ринку акцій Полтавської області;</w:t>
      </w:r>
    </w:p>
    <w:p w:rsidR="00000000" w:rsidRDefault="000130BE">
      <w:pPr>
        <w:numPr>
          <w:ilvl w:val="0"/>
          <w:numId w:val="1"/>
        </w:numPr>
        <w:tabs>
          <w:tab w:val="clear" w:pos="1069"/>
          <w:tab w:val="left" w:pos="1080"/>
          <w:tab w:val="num" w:pos="126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t>розробити методику комплексної оцінки інвестиційної привабливос</w:t>
      </w:r>
      <w:r>
        <w:rPr>
          <w:lang w:val="uk-UA"/>
        </w:rPr>
        <w:t xml:space="preserve">ті акцій відкритих акціонерних товариств в умовах низької активності організованого ринку цінних паперів України. 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Об’єктом дослідження</w:t>
      </w:r>
      <w:r>
        <w:rPr>
          <w:sz w:val="24"/>
          <w:szCs w:val="24"/>
        </w:rPr>
        <w:t xml:space="preserve"> дисертаційної роботи є фінансово-господарська діяльність відкритих акціонерних товариств Полтавської області.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b/>
          <w:bCs/>
          <w:i/>
          <w:iCs/>
          <w:lang w:val="uk-UA"/>
        </w:rPr>
        <w:t xml:space="preserve">Предметом </w:t>
      </w:r>
      <w:r>
        <w:rPr>
          <w:b/>
          <w:bCs/>
          <w:i/>
          <w:iCs/>
          <w:lang w:val="uk-UA"/>
        </w:rPr>
        <w:t>дослідження</w:t>
      </w:r>
      <w:r>
        <w:rPr>
          <w:lang w:val="uk-UA"/>
        </w:rPr>
        <w:t xml:space="preserve"> є інвестиційна привабливість акцій відкритих акціонерних товариств.</w:t>
      </w:r>
    </w:p>
    <w:p w:rsidR="00000000" w:rsidRDefault="000130BE">
      <w:pPr>
        <w:pStyle w:val="3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Методи дослідження</w:t>
      </w:r>
      <w:r>
        <w:rPr>
          <w:sz w:val="24"/>
          <w:szCs w:val="24"/>
        </w:rPr>
        <w:t>.  Загальною методологічною основою дисертації є загальнонаукові методи емпіричного та теоретичного дослідження, а саме: аналізу і синтезу – для деталізації о</w:t>
      </w:r>
      <w:r>
        <w:rPr>
          <w:sz w:val="24"/>
          <w:szCs w:val="24"/>
        </w:rPr>
        <w:t xml:space="preserve">б’єкта дослідження, розкриття та уточнення змісту економічної суті поняття „інвестиційна привабливість акцій”; системного підходу - для визначення факторів, що впливають на </w:t>
      </w:r>
      <w:r>
        <w:rPr>
          <w:spacing w:val="-6"/>
          <w:sz w:val="24"/>
          <w:szCs w:val="24"/>
        </w:rPr>
        <w:t xml:space="preserve">інвестиційні параметри емітентів та випущених ними цінних паперів; </w:t>
      </w:r>
      <w:r>
        <w:rPr>
          <w:sz w:val="24"/>
          <w:szCs w:val="24"/>
        </w:rPr>
        <w:t>статистичного ан</w:t>
      </w:r>
      <w:r>
        <w:rPr>
          <w:sz w:val="24"/>
          <w:szCs w:val="24"/>
        </w:rPr>
        <w:t>алізу – для обробки статистичної інформації з метою визначення тенденцій розвитку на ринку цінних паперів Полтавського регіону та в цілому по Україні; графічного – для наочного представлення результатів дослідження.</w:t>
      </w:r>
    </w:p>
    <w:p w:rsidR="00000000" w:rsidRDefault="000130BE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Специфічними методами дослідження були </w:t>
      </w:r>
      <w:r>
        <w:rPr>
          <w:sz w:val="24"/>
          <w:szCs w:val="24"/>
        </w:rPr>
        <w:t>окремі економіко-математичні методи, зокрема методи кластерного аналізу, що використовувалися з метою перевірки достовірності результатів, отриманих в процесі дослідження. З метою визначення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вагомості виділених груп  показників інвестиційної привабливості </w:t>
      </w:r>
      <w:r>
        <w:rPr>
          <w:sz w:val="24"/>
          <w:szCs w:val="24"/>
        </w:rPr>
        <w:t xml:space="preserve">акцій на галузевому рівні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застосовувалися  експертні методи. </w:t>
      </w:r>
    </w:p>
    <w:p w:rsidR="00000000" w:rsidRDefault="000130BE">
      <w:pPr>
        <w:pStyle w:val="3"/>
        <w:rPr>
          <w:sz w:val="24"/>
          <w:szCs w:val="24"/>
        </w:rPr>
      </w:pPr>
      <w:r>
        <w:rPr>
          <w:sz w:val="24"/>
          <w:szCs w:val="24"/>
        </w:rPr>
        <w:t>Інформаційну базу дослідження складають законодавчі та нормативно-правові акти України, які регулюють відносини акціонерної власності, процес випуску та обігу цінних паперів, зокрема акцій, мат</w:t>
      </w:r>
      <w:r>
        <w:rPr>
          <w:sz w:val="24"/>
          <w:szCs w:val="24"/>
        </w:rPr>
        <w:t>еріали Державного комітету статистики України, Полтавського обласного управління статистики, Державної комісії з цінних паперів та фондового ринку, Полтавського територіального управління Державної комісії з цінних паперів та фондового ринку, фінансова зві</w:t>
      </w:r>
      <w:r>
        <w:rPr>
          <w:sz w:val="24"/>
          <w:szCs w:val="24"/>
        </w:rPr>
        <w:t>тність відкритих акціонерних товариств Полтавської області, монографії, матеріали періодичних видань та наукових конференцій.</w:t>
      </w:r>
    </w:p>
    <w:p w:rsidR="00000000" w:rsidRDefault="000130BE">
      <w:pPr>
        <w:pStyle w:val="a4"/>
        <w:spacing w:line="360" w:lineRule="auto"/>
        <w:ind w:firstLine="720"/>
        <w:jc w:val="both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</w:rPr>
        <w:t xml:space="preserve">Наукова новизна одержаних результатів. </w:t>
      </w:r>
      <w:r>
        <w:rPr>
          <w:b w:val="0"/>
          <w:bCs w:val="0"/>
          <w:sz w:val="24"/>
          <w:szCs w:val="24"/>
        </w:rPr>
        <w:t xml:space="preserve">Найбільш суттєві наукові результати дисертаційного дослідження, що відрізняються новизною, </w:t>
      </w:r>
      <w:r>
        <w:rPr>
          <w:b w:val="0"/>
          <w:bCs w:val="0"/>
          <w:sz w:val="24"/>
          <w:szCs w:val="24"/>
        </w:rPr>
        <w:t>такі:</w:t>
      </w:r>
    </w:p>
    <w:p w:rsidR="00000000" w:rsidRDefault="000130BE">
      <w:pPr>
        <w:pStyle w:val="a4"/>
        <w:spacing w:line="360" w:lineRule="auto"/>
        <w:ind w:firstLine="72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вперше:</w:t>
      </w:r>
    </w:p>
    <w:p w:rsidR="00000000" w:rsidRDefault="000130BE">
      <w:pPr>
        <w:numPr>
          <w:ilvl w:val="0"/>
          <w:numId w:val="9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t xml:space="preserve"> введено у науковий обіг поняття  „відносна  інвестиційна привабливість” на регіональному,  галузевому та мікроекономічному етапах фундаментального аналізу акцій, що передбачає  порівняння  аналогічних об’єктів інвестування і вибір серед ни</w:t>
      </w:r>
      <w:r>
        <w:rPr>
          <w:lang w:val="uk-UA"/>
        </w:rPr>
        <w:t>х такого, який в найбільшій мірі задовольнить інвестиційні інтереси інвестора, та поняття „абсолютна інвестиційна привабливість”, що використовується для оцінки акцій конкретного  відкритого акціонерного товариства;</w:t>
      </w:r>
    </w:p>
    <w:p w:rsidR="00000000" w:rsidRDefault="000130BE">
      <w:pPr>
        <w:pStyle w:val="3"/>
        <w:numPr>
          <w:ilvl w:val="0"/>
          <w:numId w:val="9"/>
        </w:numPr>
        <w:tabs>
          <w:tab w:val="clear" w:pos="144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розроблено методичну основу експрес-ді</w:t>
      </w:r>
      <w:r>
        <w:rPr>
          <w:sz w:val="24"/>
          <w:szCs w:val="24"/>
        </w:rPr>
        <w:t>агностики відносної інвестиційної привабливості галузей (підгалузей) економіки для стратегічних і портфельних  інвесторів, побудовану на основі рейтингової оцінки інвестиційної привабливості відкритих акціонерних товариств, класифікованих за видами економі</w:t>
      </w:r>
      <w:r>
        <w:rPr>
          <w:sz w:val="24"/>
          <w:szCs w:val="24"/>
        </w:rPr>
        <w:t>чної діяльності;</w:t>
      </w:r>
    </w:p>
    <w:p w:rsidR="00000000" w:rsidRDefault="000130BE">
      <w:pPr>
        <w:pStyle w:val="BodyText1"/>
        <w:numPr>
          <w:ilvl w:val="0"/>
          <w:numId w:val="9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розроблено методичні підходи до оцінки абсолютної інвестиційної привабливості акцій відкритих акціонерних товариств. Зокрема запропоновано використовувати  чотири групи неформалізованих критеріїв: ступеня надійності і достовірності публі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чної фінансової звітності акціонерного товариства; якості корпоративного управління; ефективності інвестування в акції; ступеня задоволення прихованих переваг відповідно до очікувань інвесторів;</w:t>
      </w:r>
    </w:p>
    <w:p w:rsidR="00000000" w:rsidRDefault="000130BE">
      <w:pPr>
        <w:pStyle w:val="a4"/>
        <w:spacing w:line="360" w:lineRule="auto"/>
        <w:ind w:firstLine="720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i/>
          <w:iCs/>
          <w:sz w:val="24"/>
          <w:szCs w:val="24"/>
        </w:rPr>
        <w:t>одержали подальший розвиток:</w:t>
      </w:r>
      <w:r>
        <w:rPr>
          <w:b w:val="0"/>
          <w:bCs w:val="0"/>
          <w:sz w:val="24"/>
          <w:szCs w:val="24"/>
        </w:rPr>
        <w:t xml:space="preserve"> </w:t>
      </w:r>
    </w:p>
    <w:p w:rsidR="00000000" w:rsidRDefault="000130BE">
      <w:pPr>
        <w:pStyle w:val="a4"/>
        <w:spacing w:line="360" w:lineRule="auto"/>
        <w:ind w:firstLine="720"/>
        <w:jc w:val="both"/>
        <w:rPr>
          <w:b w:val="0"/>
          <w:bCs w:val="0"/>
          <w:spacing w:val="-6"/>
          <w:sz w:val="24"/>
          <w:szCs w:val="24"/>
        </w:rPr>
      </w:pPr>
      <w:r>
        <w:rPr>
          <w:b w:val="0"/>
          <w:bCs w:val="0"/>
          <w:sz w:val="24"/>
          <w:szCs w:val="24"/>
        </w:rPr>
        <w:t>уточнення складу факторів вплив</w:t>
      </w:r>
      <w:r>
        <w:rPr>
          <w:b w:val="0"/>
          <w:bCs w:val="0"/>
          <w:sz w:val="24"/>
          <w:szCs w:val="24"/>
        </w:rPr>
        <w:t>у на інвестиційну привабливість акцій відкритих акціонерних товариств шляхом доповнення групи об’єктивних факторів критерієм, який відображає якість корпоративного управління в акціонерному товаристві, а групи суб’єктивних факторів – переліком прихованих п</w:t>
      </w:r>
      <w:r>
        <w:rPr>
          <w:b w:val="0"/>
          <w:bCs w:val="0"/>
          <w:sz w:val="24"/>
          <w:szCs w:val="24"/>
        </w:rPr>
        <w:t xml:space="preserve">ереваг інвестування в акції </w:t>
      </w:r>
      <w:r>
        <w:rPr>
          <w:b w:val="0"/>
          <w:bCs w:val="0"/>
          <w:spacing w:val="-6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 xml:space="preserve">отримання локальної монополії на ринку товарів чи послуг; управління сировинними і енергетичними потоками; висока ринкова </w:t>
      </w:r>
      <w:r>
        <w:rPr>
          <w:b w:val="0"/>
          <w:bCs w:val="0"/>
          <w:sz w:val="24"/>
          <w:szCs w:val="24"/>
        </w:rPr>
        <w:lastRenderedPageBreak/>
        <w:t>вартість земельної ділянки, що знаходиться у розпорядженні  акціонерного товариства;  отримання контролю</w:t>
      </w:r>
      <w:r>
        <w:rPr>
          <w:b w:val="0"/>
          <w:bCs w:val="0"/>
          <w:sz w:val="24"/>
          <w:szCs w:val="24"/>
        </w:rPr>
        <w:t xml:space="preserve"> над компанією для забезпечення замкнутості виробничого циклу)</w:t>
      </w:r>
      <w:r>
        <w:rPr>
          <w:b w:val="0"/>
          <w:bCs w:val="0"/>
          <w:spacing w:val="-6"/>
          <w:sz w:val="24"/>
          <w:szCs w:val="24"/>
        </w:rPr>
        <w:t>;</w:t>
      </w:r>
    </w:p>
    <w:p w:rsidR="00000000" w:rsidRDefault="000130BE">
      <w:pPr>
        <w:pStyle w:val="a4"/>
        <w:numPr>
          <w:ilvl w:val="0"/>
          <w:numId w:val="9"/>
        </w:numPr>
        <w:tabs>
          <w:tab w:val="clear" w:pos="1440"/>
          <w:tab w:val="left" w:pos="1080"/>
        </w:tabs>
        <w:spacing w:line="360" w:lineRule="auto"/>
        <w:ind w:left="0" w:right="45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конкретизація поняття „інвестиційна привабливість акцій”  через визначення його економічної сутності з урахуванням диференційованого підходу, зокрема для стратегічних і портфельних інвестор</w:t>
      </w:r>
      <w:r>
        <w:rPr>
          <w:b w:val="0"/>
          <w:bCs w:val="0"/>
          <w:sz w:val="24"/>
          <w:szCs w:val="24"/>
        </w:rPr>
        <w:t>ів;</w:t>
      </w:r>
    </w:p>
    <w:p w:rsidR="00000000" w:rsidRDefault="000130BE">
      <w:pPr>
        <w:pStyle w:val="3"/>
        <w:numPr>
          <w:ilvl w:val="0"/>
          <w:numId w:val="9"/>
        </w:numPr>
        <w:tabs>
          <w:tab w:val="clear" w:pos="144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обґрунтування алгоритму комплексного дослідження інвестиційної привабливості акцій відкритих акціонерних товариств на підставі трансформації структури поетапного фундаментального аналізу для вітчизняних та іноземних інвесторів.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Практичне значення отр</w:t>
      </w:r>
      <w:r>
        <w:rPr>
          <w:b/>
          <w:bCs/>
          <w:sz w:val="24"/>
          <w:szCs w:val="24"/>
        </w:rPr>
        <w:t xml:space="preserve">иманих результатів </w:t>
      </w:r>
      <w:r>
        <w:rPr>
          <w:sz w:val="24"/>
          <w:szCs w:val="24"/>
        </w:rPr>
        <w:t xml:space="preserve">полягає в поглибленому розумінні особливостей оцінки інвестиційної привабливості акцій відкритих акціонерних товариств на фондовому ринку. 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Теоретичні положення і практичні рекомендації, які містяться в дисертаційній роботі, використовую</w:t>
      </w:r>
      <w:r>
        <w:rPr>
          <w:sz w:val="24"/>
          <w:szCs w:val="24"/>
        </w:rPr>
        <w:t xml:space="preserve">ться у навчальному процесі при викладанні дисциплін „Інвестування”, „Ринок фінансових послуг” у Полтавському університеті споживчої кооперації України. 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Розроблені пропозиції щодо методики комплексної оцінки інвестиційної привабливості акцій відкритих акці</w:t>
      </w:r>
      <w:r>
        <w:rPr>
          <w:sz w:val="24"/>
          <w:szCs w:val="24"/>
        </w:rPr>
        <w:t>онерних товариств, яка містить базові елементи існуючих методів аналізу фінансових коефіцієнтів та запропоновані критерії інвестиційної привабливості акцій, прийняті до впровадження в рамках  теми “Удосконалення методики оцінки фінансового стану господарюю</w:t>
      </w:r>
      <w:r>
        <w:rPr>
          <w:sz w:val="24"/>
          <w:szCs w:val="24"/>
        </w:rPr>
        <w:t>чих суб’єктів” позаштатного науково-дослідного аналітичного сектора при  Головному управлінні економіки Полтавської обласної державної адміністрації (довідка № 7-7/168 від 25.02.2003 р.).</w:t>
      </w:r>
    </w:p>
    <w:p w:rsidR="00000000" w:rsidRDefault="000130BE">
      <w:pPr>
        <w:pStyle w:val="a4"/>
        <w:spacing w:line="360" w:lineRule="auto"/>
        <w:ind w:firstLine="72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Окремі результати дослідження, зокрема щодо методичних основ експрес</w:t>
      </w:r>
      <w:r>
        <w:rPr>
          <w:b w:val="0"/>
          <w:bCs w:val="0"/>
          <w:sz w:val="24"/>
          <w:szCs w:val="24"/>
        </w:rPr>
        <w:t xml:space="preserve">-діагностики відносної інвестиційної привабливості галузей (підгалузей) економіки для стратегічних і портфельних інвесторів, прийняті до впровадження в контексті реалізації „Основних напрямків розвитку фондового ринку Полтавської області на 2001-2005 рр.” </w:t>
      </w:r>
      <w:r>
        <w:rPr>
          <w:b w:val="0"/>
          <w:bCs w:val="0"/>
          <w:sz w:val="24"/>
          <w:szCs w:val="24"/>
        </w:rPr>
        <w:t>(довідка Полтавського територіального управління Державної комісії з цінних паперів та фондового ринку №01-23/2324 від 31.12.2003р.).</w:t>
      </w:r>
    </w:p>
    <w:p w:rsidR="00000000" w:rsidRDefault="000130BE">
      <w:pPr>
        <w:pStyle w:val="a4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Результати дослідження набули практичного втілення в діяльності торговця цінними паперами - ЗАТ „Центральна Україна” (дові</w:t>
      </w:r>
      <w:r>
        <w:rPr>
          <w:b w:val="0"/>
          <w:bCs w:val="0"/>
          <w:sz w:val="24"/>
          <w:szCs w:val="24"/>
        </w:rPr>
        <w:t>дка № 14/1 від 21.01.2004 р.)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b/>
          <w:bCs/>
          <w:lang w:val="uk-UA"/>
        </w:rPr>
        <w:t xml:space="preserve">Апробація результатів дослідження. </w:t>
      </w:r>
      <w:r>
        <w:rPr>
          <w:lang w:val="uk-UA"/>
        </w:rPr>
        <w:t>Основні положення та результати дисертаційного дослідження доповідалися на п’яти науково-практичних конференціях, а саме : І-й міжнародній науково-практичній конференції „Реструктуризація еко</w:t>
      </w:r>
      <w:r>
        <w:rPr>
          <w:lang w:val="uk-UA"/>
        </w:rPr>
        <w:t>номіки та інвестиції в Україні” (Чернівці, 1998); Всеросійській  науково-практичній конференції студентів і молодих вчених “Социально-экономические приоритеты регионального развития” (Самара, 2001); 3-й Всеукраїнській науково-практичній конференції “Підвищ</w:t>
      </w:r>
      <w:r>
        <w:rPr>
          <w:lang w:val="uk-UA"/>
        </w:rPr>
        <w:t xml:space="preserve">ення ролі фінансових відносин у комплексному соціально-економічному розвитку регіону” (Дніпропетровськ, 2002); Міжнародній </w:t>
      </w:r>
      <w:r>
        <w:rPr>
          <w:lang w:val="uk-UA"/>
        </w:rPr>
        <w:lastRenderedPageBreak/>
        <w:t>науково-практичній конференції „Впровадження норм найкращої корпоративної поведінки через підготовку фахівців з корпоративного управл</w:t>
      </w:r>
      <w:r>
        <w:rPr>
          <w:lang w:val="uk-UA"/>
        </w:rPr>
        <w:t>іння  у вищих навчальних закладах” (Ялта, 2004); ІІІ Всеукраїнській науково-практичній конференції „Актуальні проблеми і перспективи розвитку економіки України в контексті глобалізації” (Алушта, 2004).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b/>
          <w:bCs/>
          <w:lang w:val="uk-UA"/>
        </w:rPr>
        <w:t>Публікації.</w:t>
      </w:r>
      <w:r>
        <w:rPr>
          <w:lang w:val="uk-UA"/>
        </w:rPr>
        <w:t xml:space="preserve"> За темою дисертаційного дослідження опублі</w:t>
      </w:r>
      <w:r>
        <w:rPr>
          <w:lang w:val="uk-UA"/>
        </w:rPr>
        <w:t xml:space="preserve">ковано 9 наукових праць загальним обсягом  3,1 д.а., в тому числі 5 – у наукових </w:t>
      </w:r>
      <w:r>
        <w:rPr>
          <w:spacing w:val="-6"/>
          <w:lang w:val="uk-UA"/>
        </w:rPr>
        <w:t xml:space="preserve">фахових виданнях, </w:t>
      </w:r>
      <w:r>
        <w:rPr>
          <w:lang w:val="uk-UA"/>
        </w:rPr>
        <w:t>загальним обсягом 2,2 д.а. Особисто автору належить 2,9 д.а.</w:t>
      </w:r>
    </w:p>
    <w:p w:rsidR="00000000" w:rsidRDefault="000130BE">
      <w:pPr>
        <w:spacing w:line="360" w:lineRule="auto"/>
        <w:ind w:firstLine="709"/>
        <w:jc w:val="both"/>
        <w:rPr>
          <w:lang w:val="uk-UA"/>
        </w:rPr>
      </w:pPr>
      <w:r>
        <w:rPr>
          <w:b/>
          <w:bCs/>
          <w:lang w:val="uk-UA"/>
        </w:rPr>
        <w:t>Структура дисертації.</w:t>
      </w:r>
      <w:r>
        <w:rPr>
          <w:lang w:val="uk-UA"/>
        </w:rPr>
        <w:t xml:space="preserve"> Дисертаційна робота складається із вступу, трьох розділів, висновків, спис</w:t>
      </w:r>
      <w:r>
        <w:rPr>
          <w:lang w:val="uk-UA"/>
        </w:rPr>
        <w:t>ку використаних джерел і додатків.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Обсяг основного тексту дисертації становить 180 сторінок,  у тому числі 23 таблиці і 33 рисунки. Список використаних джерел містить 167 найменувань. Додатки розміщено на  33 сторінках.</w:t>
      </w: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ОСНОВНИЙ ЗМІСТ РОБОТИ</w:t>
      </w: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У</w:t>
      </w:r>
      <w:r>
        <w:rPr>
          <w:b/>
          <w:bCs/>
          <w:lang w:val="uk-UA"/>
        </w:rPr>
        <w:t xml:space="preserve"> вступі</w:t>
      </w:r>
      <w:r>
        <w:rPr>
          <w:b/>
          <w:bCs/>
          <w:i/>
          <w:iCs/>
          <w:lang w:val="uk-UA"/>
        </w:rPr>
        <w:t xml:space="preserve"> </w:t>
      </w:r>
      <w:r>
        <w:rPr>
          <w:lang w:val="uk-UA"/>
        </w:rPr>
        <w:t xml:space="preserve"> об</w:t>
      </w:r>
      <w:r>
        <w:rPr>
          <w:lang w:val="uk-UA"/>
        </w:rPr>
        <w:t>ґрунтовано актуальність теми дисертації, визначено предмет і об’єкт дослідження, мету і завдання, а також викладено основні положення наукової новизни отриманих результатів, розкрито їх практичну значимість.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b/>
          <w:bCs/>
          <w:lang w:val="uk-UA"/>
        </w:rPr>
        <w:t>У першому розділі роботи „Теоретичні засади інве</w:t>
      </w:r>
      <w:r>
        <w:rPr>
          <w:b/>
          <w:bCs/>
          <w:lang w:val="uk-UA"/>
        </w:rPr>
        <w:t xml:space="preserve">стиційної привабливості акцій відкритих акціонерних товариств”  </w:t>
      </w:r>
      <w:r>
        <w:rPr>
          <w:lang w:val="uk-UA"/>
        </w:rPr>
        <w:t>визначено місце та роль акцій в системі  фінансових інструментів фондового ринку, проведено дослідження економічних та організаційних особливостей функціонування відкритих акціонерних товарист</w:t>
      </w:r>
      <w:r>
        <w:rPr>
          <w:lang w:val="uk-UA"/>
        </w:rPr>
        <w:t>в, розкрито економічний зміст категорії „інвестиційна привабливість акцій” з конкретизацією поняття для стратегічних і портфельних інвесторів, визначено і систематизовано фактори, що визначають рівень інвестиційної привабливості акцій відкритих акціонерних</w:t>
      </w:r>
      <w:r>
        <w:rPr>
          <w:lang w:val="uk-UA"/>
        </w:rPr>
        <w:t xml:space="preserve"> товариств.</w:t>
      </w:r>
    </w:p>
    <w:p w:rsidR="00000000" w:rsidRDefault="000130BE">
      <w:pPr>
        <w:pStyle w:val="2"/>
        <w:rPr>
          <w:sz w:val="24"/>
          <w:szCs w:val="24"/>
        </w:rPr>
      </w:pPr>
      <w:r>
        <w:rPr>
          <w:sz w:val="24"/>
          <w:szCs w:val="24"/>
        </w:rPr>
        <w:t>Проведені дослідження структури зареєстрованих емісій та обігу   цінних паперів в Україні протягом 1999-2003 рр. дали можливість обґрунтувати висновки щодо пріоритетності акцій серед фінансових інструментів фондового ринку. Проаналізувавши осно</w:t>
      </w:r>
      <w:r>
        <w:rPr>
          <w:sz w:val="24"/>
          <w:szCs w:val="24"/>
        </w:rPr>
        <w:t xml:space="preserve">вні теоретичні погляди на сутність і економічну природу акцій, зроблено висновок, що у попередніх дослідженнях науковців та чинній нормативно-правовій базі недостатньо уваги приділено визначенню інвестиційної привабливості даного виду цінних паперів. </w:t>
      </w: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Важл</w:t>
      </w:r>
      <w:r>
        <w:rPr>
          <w:sz w:val="24"/>
          <w:szCs w:val="24"/>
        </w:rPr>
        <w:t>ивість і актуальність її дослідження пояснюється тим, що, з одного боку, акції виступають як інструмент залучення фінансового капіталу емітента, а з іншого боку - як носії певних прав інвестора. Тобто, управління інвестиційною привабливістю акцій сприятиме</w:t>
      </w:r>
      <w:r>
        <w:rPr>
          <w:sz w:val="24"/>
          <w:szCs w:val="24"/>
        </w:rPr>
        <w:t xml:space="preserve"> розширенню джерел формування фінансових ресурсів емітента через мобілізацію коштів на ринку акцій, а також підвищенню ефективності інвестиційної діяльності інвесторів.</w:t>
      </w: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У процесі дослідження обґрунтовано переваги акціонерної форми господарювання на підстав</w:t>
      </w:r>
      <w:r>
        <w:rPr>
          <w:sz w:val="24"/>
          <w:szCs w:val="24"/>
        </w:rPr>
        <w:t>і  порівняння якісних характеристик механізмів функціонування господарських товариств та визначено економічні та організаційні особливості функціонування відкритих акціонерних товариств.</w:t>
      </w: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У роботі виявлено, що протягом періоду функціонування акціонерного то</w:t>
      </w:r>
      <w:r>
        <w:rPr>
          <w:sz w:val="24"/>
          <w:szCs w:val="24"/>
        </w:rPr>
        <w:t>вариства, від моменту створення і до ліквідації, акції набувають ряд специфічних властивостей, які систематизовані автором у  5 груп: емісійні, регулюючі, інвестиційні, спекулятивні та управлінські. При цьому три останні якості у найбільшій мірі відображаю</w:t>
      </w:r>
      <w:r>
        <w:rPr>
          <w:sz w:val="24"/>
          <w:szCs w:val="24"/>
        </w:rPr>
        <w:t>ть характер операцій інвесторів на ринку акцій в Україні та зумовлюють необхідність запровадження диференційованого підходу до класифікації інвесторів, залежно від мотивації   їх інвестиційних дій, зокрема на стратегічних і портфельних.</w:t>
      </w: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Результатом теорети</w:t>
      </w:r>
      <w:r>
        <w:rPr>
          <w:sz w:val="24"/>
          <w:szCs w:val="24"/>
        </w:rPr>
        <w:t xml:space="preserve">чного аналізу змісту економічної природи інвестиційної привабливості акцій є запропонована у роботі класифікація факторів впливу на інвестиційну привабливість акцій відкритих акціонерних товариств (рис.1).   </w:t>
      </w: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В основу класифікації автором покладено характе</w:t>
      </w:r>
      <w:r>
        <w:rPr>
          <w:sz w:val="24"/>
          <w:szCs w:val="24"/>
        </w:rPr>
        <w:t>ристики економічної цінності емітента (відкритого акціонерного товариства) та мотиваційний комплекс інвестора.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 цьому групу об’єктивних факторів доповнено критерієм, що відображає  якість корпоративного управління в акціонерному товаристві, а склад суб</w:t>
      </w:r>
      <w:r>
        <w:rPr>
          <w:sz w:val="24"/>
          <w:szCs w:val="24"/>
        </w:rPr>
        <w:t>’єктивних факторів – прихованими перевагами, що стимулюють стратегічного інвестора до інвестування, але не випливають з економічної природи акцій.</w:t>
      </w:r>
    </w:p>
    <w:p w:rsidR="00000000" w:rsidRDefault="000130BE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З огляду на запропонований у роботі диференційований підхід до стратегічних і портфельних інвесторів нашому р</w:t>
      </w:r>
      <w:r>
        <w:rPr>
          <w:lang w:val="uk-UA"/>
        </w:rPr>
        <w:t xml:space="preserve">озумінню суті інвестиційної привабливості акцій відповідають такі визначення: </w:t>
      </w:r>
    </w:p>
    <w:p w:rsidR="00000000" w:rsidRDefault="000130BE">
      <w:pPr>
        <w:numPr>
          <w:ilvl w:val="0"/>
          <w:numId w:val="8"/>
        </w:numPr>
        <w:tabs>
          <w:tab w:val="clear" w:pos="1429"/>
          <w:tab w:val="num" w:pos="-4320"/>
          <w:tab w:val="left" w:pos="1080"/>
        </w:tabs>
        <w:spacing w:line="360" w:lineRule="auto"/>
        <w:ind w:left="0" w:firstLine="720"/>
        <w:jc w:val="both"/>
      </w:pPr>
      <w:r>
        <w:t>інвестиційна привабливість акцій як об’єкта інвестиційних дій стратегічного інвестора визначається  через комплекс факторів, що в рамках належних йому майнових прав відображаю</w:t>
      </w:r>
      <w:r>
        <w:t xml:space="preserve">ть рівень задоволення управлінських, організаційних, фінансових, економічних  та інших вимог у довгостроковій перспективі; </w:t>
      </w: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rPr>
          <w:sz w:val="24"/>
          <w:szCs w:val="24"/>
        </w:rPr>
        <w:sectPr w:rsidR="00000000">
          <w:type w:val="oddPage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00000" w:rsidRDefault="000130BE">
      <w:pPr>
        <w:pStyle w:val="3"/>
        <w:widowControl w:val="0"/>
        <w:tabs>
          <w:tab w:val="left" w:pos="-1843"/>
        </w:tabs>
        <w:ind w:firstLine="0"/>
        <w:rPr>
          <w:sz w:val="24"/>
          <w:szCs w:val="24"/>
        </w:rPr>
      </w:pP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ind w:firstLine="0"/>
        <w:rPr>
          <w:sz w:val="24"/>
          <w:szCs w:val="24"/>
        </w:rPr>
      </w:pPr>
      <w:r>
        <w:fldChar w:fldCharType="begin" w:fldLock="1"/>
      </w:r>
      <w:r>
        <w:instrText xml:space="preserve">REF </w:instrText>
      </w:r>
      <w:r>
        <w:rPr>
          <w:sz w:val="24"/>
          <w:szCs w:val="24"/>
        </w:rPr>
        <w:instrText xml:space="preserve"> SHAPE  \* MERGEFORMAT </w:instrText>
      </w:r>
      <w:r>
        <w:fldChar w:fldCharType="separate"/>
      </w:r>
      <w:r w:rsidR="00EE228E"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86900" cy="525780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9486900" cy="5257800"/>
                          <a:chOff x="2127" y="3235"/>
                          <a:chExt cx="11718" cy="6409"/>
                        </a:xfrm>
                      </wpg:grpSpPr>
                      <wps:wsp>
                        <wps:cNvPr id="8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127" y="3235"/>
                            <a:ext cx="11718" cy="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3540" y="5326"/>
                            <a:ext cx="1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3540" y="6022"/>
                            <a:ext cx="1" cy="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3540" y="6998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3540" y="7695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3540" y="8391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/>
                        <wps:spPr bwMode="auto">
                          <a:xfrm flipH="1">
                            <a:off x="9751" y="5047"/>
                            <a:ext cx="424" cy="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/>
                        <wps:spPr bwMode="auto">
                          <a:xfrm>
                            <a:off x="10175" y="5047"/>
                            <a:ext cx="564" cy="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 flipH="1">
                            <a:off x="3822" y="8808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11445" y="4350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2127" y="476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2127" y="5186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2127" y="5882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2127" y="6579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2127" y="7276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/>
                        <wps:spPr bwMode="auto">
                          <a:xfrm>
                            <a:off x="2127" y="7833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 flipH="1">
                            <a:off x="13562" y="546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/>
                        <wps:spPr bwMode="auto">
                          <a:xfrm flipH="1">
                            <a:off x="13562" y="6440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 flipH="1">
                            <a:off x="13562" y="6997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13562" y="769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933" y="3932"/>
                            <a:ext cx="3318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Об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lang w:val="uk-UA"/>
                                </w:rPr>
                                <w:t>є</w:t>
                              </w:r>
                              <w:r>
                                <w:rPr>
                                  <w:lang w:val="uk-UA"/>
                                </w:rPr>
                                <w:t>ктивні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04" y="7136"/>
                            <a:ext cx="3881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Приховані переваги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69" y="6301"/>
                            <a:ext cx="3812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</w:pPr>
                              <w:r>
                                <w:t>Форма реорганізації акціонерного товариства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809" y="3235"/>
                            <a:ext cx="5088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 xml:space="preserve">Фактори інвестиційної привабливості акцій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012" y="3932"/>
                            <a:ext cx="2877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Суб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lang w:val="uk-UA"/>
                                </w:rPr>
                                <w:t>єктивні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69" y="5047"/>
                            <a:ext cx="3812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</w:pPr>
                              <w:r>
                                <w:t>Емісійна політика акціонерного товариства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51" y="4489"/>
                            <a:ext cx="5788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Мотивація інвестора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69" y="5604"/>
                            <a:ext cx="380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</w:pPr>
                              <w:r>
                                <w:t>Характер і обсяг наданих прав залежно від розміру пакет</w:t>
                              </w: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  <w:r>
                                <w:t xml:space="preserve"> акцій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45" y="5325"/>
                            <a:ext cx="3096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Стратегічного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504" y="6161"/>
                            <a:ext cx="3881" cy="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Участь в управлінні, контроль за формуванням і розподілом ресурсів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39" y="6161"/>
                            <a:ext cx="2796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Ліквідність акцій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39" y="7415"/>
                            <a:ext cx="2796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Міра ризику інвестування в акції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39" y="6718"/>
                            <a:ext cx="2807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Потенційна доходність акцій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739" y="5325"/>
                            <a:ext cx="2796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Портфельного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7"/>
                        <wps:cNvCnPr/>
                        <wps:spPr bwMode="auto">
                          <a:xfrm flipH="1">
                            <a:off x="6251" y="3793"/>
                            <a:ext cx="1992" cy="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8243" y="3793"/>
                            <a:ext cx="1769" cy="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69" y="6997"/>
                            <a:ext cx="3812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Ефективність корпоративного управління</w:t>
                              </w:r>
                            </w:p>
                            <w:p w:rsidR="00000000" w:rsidRDefault="000130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69" y="7555"/>
                            <a:ext cx="3812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</w:pPr>
                              <w:r>
                                <w:t>Інформаційна прозор</w:t>
                              </w:r>
                              <w:r>
                                <w:t>ість діяльності і планів емітента</w:t>
                              </w:r>
                            </w:p>
                            <w:p w:rsidR="00000000" w:rsidRDefault="000130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80" y="8390"/>
                            <a:ext cx="1836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</w:pPr>
                              <w:r>
                                <w:t>управління сировинними й енергетичними потоками</w:t>
                              </w:r>
                            </w:p>
                            <w:p w:rsidR="00000000" w:rsidRDefault="000130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68" y="8391"/>
                            <a:ext cx="3389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</w:pPr>
                              <w:r>
                                <w:t>отримання контролю над компанією, що є необхідною ланкою для забезпеч-чення замкнутості виробничого циклу</w:t>
                              </w:r>
                            </w:p>
                            <w:p w:rsidR="00000000" w:rsidRDefault="000130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63" y="8390"/>
                            <a:ext cx="1834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ind w:right="6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отримання локальної моно-полії на ринку товарів   чи послуг</w:t>
                              </w:r>
                            </w:p>
                            <w:p w:rsidR="00000000" w:rsidRDefault="000130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80" y="8390"/>
                            <a:ext cx="2683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jc w:val="center"/>
                              </w:pPr>
                              <w:r>
                                <w:t>висока ринкова вартість земельної ділянки, що знахо-диться у  розпорядженні акціонерного товариства</w:t>
                              </w:r>
                            </w:p>
                            <w:p w:rsidR="00000000" w:rsidRDefault="000130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269" y="4489"/>
                            <a:ext cx="3953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130BE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t>Фінансовий стан акціонерного товариства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6"/>
                        <wps:cNvCnPr/>
                        <wps:spPr bwMode="auto">
                          <a:xfrm>
                            <a:off x="2127" y="4210"/>
                            <a:ext cx="0" cy="3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/>
                        <wps:spPr bwMode="auto">
                          <a:xfrm>
                            <a:off x="2127" y="4210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/>
                        <wps:spPr bwMode="auto">
                          <a:xfrm>
                            <a:off x="13704" y="5464"/>
                            <a:ext cx="1" cy="2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/>
                        <wps:spPr bwMode="auto">
                          <a:xfrm flipH="1">
                            <a:off x="6362" y="5464"/>
                            <a:ext cx="2" cy="1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6363" y="5464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>
                            <a:off x="6363" y="6440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2"/>
                        <wps:cNvCnPr/>
                        <wps:spPr bwMode="auto">
                          <a:xfrm>
                            <a:off x="6362" y="7415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/>
                        <wps:spPr bwMode="auto">
                          <a:xfrm>
                            <a:off x="8480" y="7694"/>
                            <a:ext cx="1" cy="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3821" y="8251"/>
                            <a:ext cx="8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5"/>
                        <wps:cNvCnPr/>
                        <wps:spPr bwMode="auto">
                          <a:xfrm>
                            <a:off x="3821" y="8251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/>
                        <wps:spPr bwMode="auto">
                          <a:xfrm>
                            <a:off x="7210" y="8251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/>
                        <wps:spPr bwMode="auto">
                          <a:xfrm>
                            <a:off x="9327" y="8251"/>
                            <a:ext cx="1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12292" y="8251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747pt;height:414pt;z-index:251658240" coordorigin="2127,3235" coordsize="11718,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5z6QoAACGUAAAOAAAAZHJzL2Uyb0RvYy54bWzsXWtz4sgV/Z6q/AcV3z3o/aCG2Zr1Y5Kq&#10;2WRqdvMDZBCgCkiKJBvPpvLfc/q21GoJeY3BUGbV/uACBHp0n76vc+/tjz89bdbaY5QXcZpMR8YH&#10;faRFySydx8lyOvrXb3dX/kgryjCZh+s0iaajH1Ex+unTX//ycZtNIjNdpet5lGs4SVJMttl0tCrL&#10;bDIeF7NVtAmLD2kWJTi4SPNNWOJtvhzP83CLs2/WY1PX3fE2zedZns6iosCnN/zg6BOdf7GIZuU/&#10;F4siKrX1dIR7K+l/Tv/v2f/xp4/hZJmH2SqeVbcRHnAXmzBOcFFxqpuwDLWHPN451Sae5WmRLsoP&#10;s3QzTheLeBbRM+BpDL3zNF/y9CGjZ1lOtstMDBOGtjNOB5929o/Hb7kWz6cjb6Ql4QZTRFfVTDY0&#10;22w5wTe+5Nmv2becPx9efk1n/y60JP2eYjwN/C69XoXJMvpcZBjw6qNf0kecjI5+j4r4d3qDc467&#10;J2Xvl/wK2v32l3SOb4YPZUrj+bTIN+y6GCntiabth5i26KnUZvgwsH030DG7MxxzTMfz8YYmdrbC&#10;7LPfmYaJ58Nhy7Sc+tht9XvD8AzAlP3atfWAHR6HE35lutvq7th4AKVFMxHFcRPx6yrMIprfgg1z&#10;NRG4FT4RnzEI9BXN4pNB36pnohDT0DP41Ud5nm5XUTjHfdJE/IYhu53HNEV8KqRTsocrMM0vTkLP&#10;YNZT8UdDGU6yvCi/ROlGYy+moxxgoUkOH78WJR/1+itszpP0Ll6vaSLXSesDTA//BNfFT9kxdge0&#10;4P4b6MGtf+vbV7bp3l7Z+s3N1ee7a/vKvTM858a6ub6+Mf7HrmvYk1U8n0cJu0y9+A17vzmtxBBf&#10;tmL5F+k6nrPTsVsq8uX99TrXHkMInzv6q7AlfW3cvg2CHp6l80iGaes/m8HVnet7V/ad7VwFnu5f&#10;6Ubwc+DqdmDf3LUf6WucRMc/krbF6sKKolmSbrrzbDr97T5bONnEJcT7Ot5MR1iU+GNfCicMk7fJ&#10;nF6XYbzmr6WhYLffDAWmu55orEeOUr4Y79P5DyA2Z4IIAgCKCC9Waf77SNtCqE9HxX8ewjwaaeu/&#10;J1gEgWHbTAvQG9vxTLzJ5SP38pEwmeFU01E50vjL65Jrjocsj5crXMmggUlStlIXMUGY3R+/KxJ1&#10;JC/OJDiCWnDQ5NuSzLhOvuUY7HrsXlzhlsOGiUlTy3T5lLH1xYQt5AgTlIbVlpM7i3uNGdx7cR+N&#10;MyjKCk7PQeudCgwh4yTwc/nBQV8vApJyveDHvNLn0EtnwpkBbHANRUAjfcqgBRV2MNBc3SSLgwty&#10;GWi2wQAoFLICmmQe95p9/ZrpIoHGjBaySQloJImOBloQ+G2JBjQrifZ2JtBFAs1sAc1jADkWaJ4b&#10;VJ5GrToV0N7U1r5IoFktoJEkOhZovhWQimxUZw00GHFKdSKwBBfrGKfuIoFmt4BGxvprgKYt1nH2&#10;t9rDqaIvgedAIzO3QLdJRjaQs01ckOIvDh25CHtNK39kCDaVeYzo1RpeItzdTTSHtxghmMle8eXz&#10;PmMNFwlLpwVLeBKHa1pDRzznGTg6roLjmUNfFwlHtw1H0qNHi0nLhy/LxKTv6x1fw/RxhIlJpZmJ&#10;8hmiZhZECzm1RkW0HBQ+MRDP5CLQtpwqtqq8jZNE9i9SvAkqiUNNppFeG6kTpI/tuR2hZthKqL0h&#10;h3SRSGtzD8Yx5INAmmP4XfKhRpqKCQ9VfTLKTooJG8ewDw3SfNhl8EQaf1bINIW0wSKtzT4Yx9AP&#10;Ammu41EsRiHtRBkYl6g9mbsoy7Rj+AeBNM/0lPY8Za7PRSKtzT8g7e3w+FuDNN8iz0LJNCXTRBYj&#10;4wNkmfY2DIRhOS6PrTk2Qrz9JpuKrQ3WZGvTC/AVXineemmvBnQuSx9UoDtd/uxF6tQ2iWC+DYkg&#10;gS4IOmSrcE6VpBuspGuzCDx58mjmqgEdspeUelXeQ4WoqjLFFHzCd5RuUM6EZsqkwrO1Ka1CFChQ&#10;ylhGvjD/AbvKfpUnATwNKuMJrE7AzrLqGh6bezXPZ6C8VHfyfKHDc0UcrBzl6Bz2V9ZKUEJ7JyO8&#10;fLp/qiweVRkhlVSZgp6QgCtzFKcGrouMKQKuZ1idqIzl+1VNheOQOz5U4FIVojCeFH4l/FqC9JDw&#10;KzMfp8avabpYQshbcS2dpqiJ9Vg+Uhj2S/37cwtewq/I5lD4lfErqBQJvzKfcmr8Oj7qeslwEPW/&#10;dZ6Mo/tV8a+Sv6iPriMmCr8yfgVBI+FXZmlOjV9D15mUhQC2dixf0/fgDLKkwoFbviSAhVWnACwD&#10;WPA+EoBl8ufUABYGxG7pQGNAKPyitEIJ4J6eGJZgkyT8ypTSqfHrWVXpi237nQQO9BsRBgQdGrQD&#10;J6w6JX9l+SuIqQa/cOoadurU+G3kL9qFtCksi2xjXrtF0mfQ+BVWncKvjF/BcUn4FbEaEchFX5hu&#10;V6I3ivy6blXogI4kBFIpAKEHuDuyfzn3Nmj8CqNO4VfGr6DLJPyKWM058FsHgF3D3Qmg1QFglxO9&#10;g8avMOoUfmX89jBvPOmuYuhObT8YuoeOTxQB3gGw6QkBPGzqjTMYwqxTCJYR3EPBwas7nwXcINiz&#10;edVIY0I0CHYBZcZP1/0fd9pN5S80Lbxs8pgjWBh2CsESgllLPJ7RKtkQIlxzBhuiQbDLGpYCphKC&#10;fb0KAjuOCkI0RdUKwTKCe2g4no5wditi141rZLAKA7P+mrVqVAiWESyIOKpot0S0BuJ3r4r23gRv&#10;16yCu5YXdCtZgqDKbngRlev30/FUNTY6d09UWxBsHJgiDLMvMJkyr9ps+SY7G+N6d+GIvNw9uV4F&#10;xzfq6X2JNQl2D1/GOzafSdMLvsHdqV5QfC/SnVmmLne2hA+sFL2s6HsIM157dW4Ae47TJRxUxqMM&#10;YOECKwDLAO5hzHgr8zMB2Ld9BCxgRaA/bLdo0YfXR4xZwHsEDDvcpVIW+rahQYfXnXAX2i+dL2AL&#10;EwKsBwdwlzKzkIRTAZjEz7ABLLxgJYFlCdzDmcGxOh+AXcvlflyvBIaFznIWlARGsEt4ywrAMoB7&#10;KDM4ducDsIHSiOdsCAhngFshuPLiVNpCnw2BnrS7NoTwF85AmYkwxG7arhU4FYBfjOwOgPNtWqUo&#10;ESyJYMYLSF2MbOEqHBDWFf2ybJP3vW/YWywTJkktl1fTP2/NvqOgLtQQ7lNtjUD71PZuxMW2pu3b&#10;1rV/20+nTW3xDTaqWMFe1JbEIPwB1Hzm1zGwqd4xQ+0dw/SeLNSE9X2AUDMsr+ps0NOQjQPNNHml&#10;g5JqA9ztwBFEFPGitrCT98VaP2EPTUmhoV3QVWy9EUB1cxVVbyFdby1c7T6sVGlnF/I/z76RIGxk&#10;Acd3xjhQlYogTg/U1GYub7l39iXy7I5geUi8cZlzLNL6ukxWLYKU0TZYo03QMRxpMhPzWvcAMo2r&#10;z91MeNFaUmnPwSJN8CYcaTJl8lqkCRK6p58k9w6cC9ovUoU8Xtp7/JUhD0FwcKTJ3MZrkYZN96Aj&#10;GVvMknkxU010DSEPpT4HvkGVK5gIDjWZhHhDqFWBXIPnWqqIxwAjHijvbjmfx1AGHmMK+oWaQtrg&#10;N5NnRrwUx+WG1IHOJ7rKwcHoVZ+V7lQyTXsaqkvA8phkpB3FGJgmK6nqhZoSau9ZqKHZ+HKyXWZE&#10;/C7zMFvFs5uwDOX3eL3NJpGZrtL1PMo//R8AAP//AwBQSwMEFAAGAAgAAAAhACao87HdAAAABgEA&#10;AA8AAABkcnMvZG93bnJldi54bWxMj81qwzAQhO+FvoPYQm+N7PwU17UcQkh7CoUmhdLbxtrYJtbK&#10;WIrtvH2VXtLLwDDLzLfZcjSN6KlztWUF8SQCQVxYXXOp4Gv/9pSAcB5ZY2OZFFzIwTK/v8sw1Xbg&#10;T+p3vhShhF2KCirv21RKV1Rk0E1sSxyyo+0M+mC7UuoOh1BuGjmNomdpsOawUGFL64qK0+5sFLwP&#10;OKxm8abfno7ry89+8fG9jUmpx4dx9QrC0+hvx3DFD+iQB6aDPbN2olEQHvF/es3mL/PgDwqSaRKB&#10;zDP5Hz//BQAA//8DAFBLAQItABQABgAIAAAAIQC2gziS/gAAAOEBAAATAAAAAAAAAAAAAAAAAAAA&#10;AABbQ29udGVudF9UeXBlc10ueG1sUEsBAi0AFAAGAAgAAAAhADj9If/WAAAAlAEAAAsAAAAAAAAA&#10;AAAAAAAALwEAAF9yZWxzLy5yZWxzUEsBAi0AFAAGAAgAAAAhAOicfnPpCgAAIZQAAA4AAAAAAAAA&#10;AAAAAAAALgIAAGRycy9lMm9Eb2MueG1sUEsBAi0AFAAGAAgAAAAhACao87HdAAAABgEAAA8AAAAA&#10;AAAAAAAAAAAAQw0AAGRycy9kb3ducmV2LnhtbFBLBQYAAAAABAAEAPMAAABNDgAAAAA=&#10;" o:allowincell="f">
                <o:lock v:ext="edit" rotation="t" aspectratio="t" position="t"/>
                <v:rect id="AutoShape 3" o:spid="_x0000_s1027" style="position:absolute;left:2127;top:3235;width:11718;height:6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o:lock v:ext="edit" aspectratio="t" text="t"/>
                </v:rect>
                <v:line id="Line 4" o:spid="_x0000_s1028" style="position:absolute;visibility:visible;mso-wrap-style:square" from="3540,5326" to="3541,5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5" o:spid="_x0000_s1029" style="position:absolute;visibility:visible;mso-wrap-style:square" from="3540,6022" to="3541,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6" o:spid="_x0000_s1030" style="position:absolute;visibility:visible;mso-wrap-style:square" from="3540,6998" to="3540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7" o:spid="_x0000_s1031" style="position:absolute;visibility:visible;mso-wrap-style:square" from="3540,7695" to="3540,7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8" o:spid="_x0000_s1032" style="position:absolute;visibility:visible;mso-wrap-style:square" from="3540,8391" to="3540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9" o:spid="_x0000_s1033" style="position:absolute;flip:x;visibility:visible;mso-wrap-style:square" from="9751,5047" to="10175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0" o:spid="_x0000_s1034" style="position:absolute;visibility:visible;mso-wrap-style:square" from="10175,5047" to="10739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1" o:spid="_x0000_s1035" style="position:absolute;flip:x;visibility:visible;mso-wrap-style:square" from="3822,8808" to="4104,8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12" o:spid="_x0000_s1036" style="position:absolute;visibility:visible;mso-wrap-style:square" from="11445,4350" to="11445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3" o:spid="_x0000_s1037" style="position:absolute;visibility:visible;mso-wrap-style:square" from="2127,4768" to="2269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4" o:spid="_x0000_s1038" style="position:absolute;visibility:visible;mso-wrap-style:square" from="2127,5186" to="2269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5" o:spid="_x0000_s1039" style="position:absolute;visibility:visible;mso-wrap-style:square" from="2127,5882" to="2269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6" o:spid="_x0000_s1040" style="position:absolute;visibility:visible;mso-wrap-style:square" from="2127,6579" to="2269,6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7" o:spid="_x0000_s1041" style="position:absolute;visibility:visible;mso-wrap-style:square" from="2127,7276" to="2269,7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8" o:spid="_x0000_s1042" style="position:absolute;visibility:visible;mso-wrap-style:square" from="2127,7833" to="2269,7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9" o:spid="_x0000_s1043" style="position:absolute;flip:x;visibility:visible;mso-wrap-style:square" from="13562,5464" to="13704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20" o:spid="_x0000_s1044" style="position:absolute;flip:x;visibility:visible;mso-wrap-style:square" from="13562,6440" to="13704,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1" o:spid="_x0000_s1045" style="position:absolute;flip:x;visibility:visible;mso-wrap-style:square" from="13562,6997" to="13704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22" o:spid="_x0000_s1046" style="position:absolute;flip:x;visibility:visible;mso-wrap-style:square" from="13562,7694" to="13704,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rect id="Rectangle 23" o:spid="_x0000_s1047" style="position:absolute;left:2933;top:3932;width:331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Об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rPr>
                            <w:lang w:val="uk-UA"/>
                          </w:rPr>
                          <w:t>є</w:t>
                        </w:r>
                        <w:r>
                          <w:rPr>
                            <w:lang w:val="uk-UA"/>
                          </w:rPr>
                          <w:t>ктивні</w:t>
                        </w:r>
                      </w:p>
                    </w:txbxContent>
                  </v:textbox>
                </v:rect>
                <v:rect id="Rectangle 24" o:spid="_x0000_s1048" style="position:absolute;left:6504;top:7136;width:3881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Приховані переваги</w:t>
                        </w:r>
                      </w:p>
                    </w:txbxContent>
                  </v:textbox>
                </v:rect>
                <v:rect id="Rectangle 25" o:spid="_x0000_s1049" style="position:absolute;left:2269;top:6301;width:381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000000" w:rsidRDefault="000130BE">
                        <w:pPr>
                          <w:jc w:val="center"/>
                        </w:pPr>
                        <w:r>
                          <w:t>Форма реорганізації акціонерного товариства</w:t>
                        </w:r>
                      </w:p>
                    </w:txbxContent>
                  </v:textbox>
                </v:rect>
                <v:rect id="Rectangle 26" o:spid="_x0000_s1050" style="position:absolute;left:5809;top:3235;width:5088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 xml:space="preserve">Фактори інвестиційної привабливості акцій </w:t>
                        </w:r>
                      </w:p>
                    </w:txbxContent>
                  </v:textbox>
                </v:rect>
                <v:rect id="Rectangle 27" o:spid="_x0000_s1051" style="position:absolute;left:10012;top:3932;width:287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Суб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rPr>
                            <w:lang w:val="uk-UA"/>
                          </w:rPr>
                          <w:t>єктивні</w:t>
                        </w:r>
                      </w:p>
                    </w:txbxContent>
                  </v:textbox>
                </v:rect>
                <v:rect id="Rectangle 28" o:spid="_x0000_s1052" style="position:absolute;left:2269;top:5047;width:381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000000" w:rsidRDefault="000130BE">
                        <w:pPr>
                          <w:jc w:val="center"/>
                        </w:pPr>
                        <w:r>
                          <w:t>Емісійна політика акціонерного товариства</w:t>
                        </w:r>
                      </w:p>
                    </w:txbxContent>
                  </v:textbox>
                </v:rect>
                <v:rect id="Rectangle 29" o:spid="_x0000_s1053" style="position:absolute;left:7351;top:4489;width:5788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Мотивація інвестора</w:t>
                        </w:r>
                      </w:p>
                    </w:txbxContent>
                  </v:textbox>
                </v:rect>
                <v:rect id="Rectangle 30" o:spid="_x0000_s1054" style="position:absolute;left:2269;top:5604;width:380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000000" w:rsidRDefault="000130BE">
                        <w:pPr>
                          <w:jc w:val="center"/>
                        </w:pPr>
                        <w:r>
                          <w:t>Характер і обсяг наданих прав залежно від розміру пакет</w:t>
                        </w:r>
                        <w:r>
                          <w:rPr>
                            <w:lang w:val="uk-UA"/>
                          </w:rPr>
                          <w:t>а</w:t>
                        </w:r>
                        <w:r>
                          <w:t xml:space="preserve"> акцій</w:t>
                        </w:r>
                      </w:p>
                    </w:txbxContent>
                  </v:textbox>
                </v:rect>
                <v:rect id="Rectangle 31" o:spid="_x0000_s1055" style="position:absolute;left:6645;top:5325;width:3096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Стратегічного</w:t>
                        </w:r>
                      </w:p>
                    </w:txbxContent>
                  </v:textbox>
                </v:rect>
                <v:rect id="Rectangle 32" o:spid="_x0000_s1056" style="position:absolute;left:6504;top:6161;width:3881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Участь в управлінні, контроль за формуванням і розподілом ресурсів</w:t>
                        </w:r>
                      </w:p>
                    </w:txbxContent>
                  </v:textbox>
                </v:rect>
                <v:rect id="Rectangle 33" o:spid="_x0000_s1057" style="position:absolute;left:10739;top:6161;width:279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Ліквідність акцій</w:t>
                        </w:r>
                      </w:p>
                    </w:txbxContent>
                  </v:textbox>
                </v:rect>
                <v:rect id="Rectangle 34" o:spid="_x0000_s1058" style="position:absolute;left:10739;top:7415;width:2796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Міра ризику інвестування в акції</w:t>
                        </w:r>
                      </w:p>
                    </w:txbxContent>
                  </v:textbox>
                </v:rect>
                <v:rect id="Rectangle 35" o:spid="_x0000_s1059" style="position:absolute;left:10739;top:6718;width:2807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Потенційна доходність акцій</w:t>
                        </w:r>
                      </w:p>
                    </w:txbxContent>
                  </v:textbox>
                </v:rect>
                <v:rect id="Rectangle 36" o:spid="_x0000_s1060" style="position:absolute;left:10739;top:5325;width:279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Портфельного</w:t>
                        </w:r>
                      </w:p>
                    </w:txbxContent>
                  </v:textbox>
                </v:rect>
                <v:line id="Line 37" o:spid="_x0000_s1061" style="position:absolute;flip:x;visibility:visible;mso-wrap-style:square" from="6251,3793" to="8243,4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38" o:spid="_x0000_s1062" style="position:absolute;visibility:visible;mso-wrap-style:square" from="8243,3793" to="10012,4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rect id="Rectangle 39" o:spid="_x0000_s1063" style="position:absolute;left:2269;top:6997;width:381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000000" w:rsidRDefault="000130BE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t>Ефективність корпоративного управління</w:t>
                        </w:r>
                      </w:p>
                      <w:p w:rsidR="00000000" w:rsidRDefault="000130BE"/>
                    </w:txbxContent>
                  </v:textbox>
                </v:rect>
                <v:rect id="Rectangle 40" o:spid="_x0000_s1064" style="position:absolute;left:2269;top:7555;width:381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000000" w:rsidRDefault="000130BE">
                        <w:pPr>
                          <w:jc w:val="center"/>
                        </w:pPr>
                        <w:r>
                          <w:t>Інформаційна прозор</w:t>
                        </w:r>
                        <w:r>
                          <w:t>ість діяльності і планів емітента</w:t>
                        </w:r>
                      </w:p>
                      <w:p w:rsidR="00000000" w:rsidRDefault="000130BE"/>
                    </w:txbxContent>
                  </v:textbox>
                </v:rect>
                <v:rect id="Rectangle 41" o:spid="_x0000_s1065" style="position:absolute;left:8480;top:8390;width:1836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</w:pPr>
                        <w:r>
                          <w:t>управління сировинними й енергетичними потоками</w:t>
                        </w:r>
                      </w:p>
                      <w:p w:rsidR="00000000" w:rsidRDefault="000130BE"/>
                    </w:txbxContent>
                  </v:textbox>
                </v:rect>
                <v:rect id="Rectangle 42" o:spid="_x0000_s1066" style="position:absolute;left:2268;top:8391;width:3389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000000" w:rsidRDefault="000130BE">
                        <w:pPr>
                          <w:jc w:val="center"/>
                        </w:pPr>
                        <w:r>
                          <w:t>отримання контролю над компанією, що є необхідною ланкою для забезпеч-чення замкнутості виробничого циклу</w:t>
                        </w:r>
                      </w:p>
                      <w:p w:rsidR="00000000" w:rsidRDefault="000130BE"/>
                    </w:txbxContent>
                  </v:textbox>
                </v:rect>
                <v:rect id="Rectangle 43" o:spid="_x0000_s1067" style="position:absolute;left:6363;top:8390;width:1834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000000" w:rsidRDefault="000130BE">
                        <w:pPr>
                          <w:ind w:right="60"/>
                          <w:jc w:val="center"/>
                          <w:rPr>
                            <w:lang w:val="uk-UA"/>
                          </w:rPr>
                        </w:pPr>
                        <w:r>
                          <w:t>отримання локальної моно-полії на ринку товарів   чи послуг</w:t>
                        </w:r>
                      </w:p>
                      <w:p w:rsidR="00000000" w:rsidRDefault="000130BE"/>
                    </w:txbxContent>
                  </v:textbox>
                </v:rect>
                <v:rect id="Rectangle 44" o:spid="_x0000_s1068" style="position:absolute;left:10880;top:8390;width:2683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000000" w:rsidRDefault="000130BE">
                        <w:pPr>
                          <w:jc w:val="center"/>
                        </w:pPr>
                        <w:r>
                          <w:t>висока ринкова вартість земельної ділянки, що знахо-диться у  розпорядженні акціонерного товариства</w:t>
                        </w:r>
                      </w:p>
                      <w:p w:rsidR="00000000" w:rsidRDefault="000130BE"/>
                    </w:txbxContent>
                  </v:textbox>
                </v:rect>
                <v:rect id="Rectangle 45" o:spid="_x0000_s1069" style="position:absolute;left:2269;top:4489;width:395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000000" w:rsidRDefault="000130BE">
                        <w:pPr>
                          <w:rPr>
                            <w:lang w:val="uk-UA"/>
                          </w:rPr>
                        </w:pPr>
                        <w:r>
                          <w:t>Фінансовий стан акціонерного товариства</w:t>
                        </w:r>
                      </w:p>
                    </w:txbxContent>
                  </v:textbox>
                </v:rect>
                <v:line id="Line 46" o:spid="_x0000_s1070" style="position:absolute;visibility:visible;mso-wrap-style:square" from="2127,4210" to="2127,7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47" o:spid="_x0000_s1071" style="position:absolute;visibility:visible;mso-wrap-style:square" from="2127,4210" to="2974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48" o:spid="_x0000_s1072" style="position:absolute;visibility:visible;mso-wrap-style:square" from="13704,5464" to="13705,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9" o:spid="_x0000_s1073" style="position:absolute;flip:x;visibility:visible;mso-wrap-style:square" from="6362,5464" to="6364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50" o:spid="_x0000_s1074" style="position:absolute;visibility:visible;mso-wrap-style:square" from="6363,5464" to="6645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1" o:spid="_x0000_s1075" style="position:absolute;visibility:visible;mso-wrap-style:square" from="6363,6440" to="6504,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52" o:spid="_x0000_s1076" style="position:absolute;visibility:visible;mso-wrap-style:square" from="6362,7415" to="6504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53" o:spid="_x0000_s1077" style="position:absolute;visibility:visible;mso-wrap-style:square" from="8480,7694" to="8481,8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54" o:spid="_x0000_s1078" style="position:absolute;visibility:visible;mso-wrap-style:square" from="3821,8251" to="12292,8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55" o:spid="_x0000_s1079" style="position:absolute;visibility:visible;mso-wrap-style:square" from="3821,8251" to="3821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56" o:spid="_x0000_s1080" style="position:absolute;visibility:visible;mso-wrap-style:square" from="7210,8251" to="7210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57" o:spid="_x0000_s1081" style="position:absolute;visibility:visible;mso-wrap-style:square" from="9327,8251" to="9328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58" o:spid="_x0000_s1082" style="position:absolute;visibility:visible;mso-wrap-style:square" from="12292,8251" to="12292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w10:anchorlock/>
              </v:group>
            </w:pict>
          </mc:Fallback>
        </mc:AlternateContent>
      </w:r>
      <w:r>
        <w:fldChar w:fldCharType="end"/>
      </w:r>
    </w:p>
    <w:p w:rsidR="00000000" w:rsidRDefault="000130BE">
      <w:pPr>
        <w:pStyle w:val="3"/>
        <w:widowControl w:val="0"/>
        <w:tabs>
          <w:tab w:val="left" w:pos="-1843"/>
          <w:tab w:val="left" w:pos="1134"/>
        </w:tabs>
        <w:rPr>
          <w:sz w:val="24"/>
          <w:szCs w:val="24"/>
        </w:rPr>
      </w:pPr>
    </w:p>
    <w:p w:rsidR="00000000" w:rsidRDefault="000130BE">
      <w:pPr>
        <w:spacing w:line="360" w:lineRule="auto"/>
        <w:sectPr w:rsidR="00000000">
          <w:headerReference w:type="default" r:id="rId8"/>
          <w:footerReference w:type="default" r:id="rId9"/>
          <w:type w:val="oddPage"/>
          <w:pgSz w:w="16838" w:h="11906" w:orient="landscape"/>
          <w:pgMar w:top="1134" w:right="567" w:bottom="1134" w:left="1134" w:header="567" w:footer="567" w:gutter="0"/>
          <w:cols w:space="708"/>
          <w:docGrid w:linePitch="360"/>
        </w:sectPr>
      </w:pPr>
      <w:r>
        <w:rPr>
          <w:lang w:val="uk-UA"/>
        </w:rPr>
        <w:t xml:space="preserve">            </w:t>
      </w:r>
      <w:r>
        <w:t>Рис. 1. Фактори впливу на інвестиційну привабливість акцій відкритих акціонерних товариств</w:t>
      </w:r>
    </w:p>
    <w:p w:rsidR="00000000" w:rsidRDefault="000130BE">
      <w:pPr>
        <w:numPr>
          <w:ilvl w:val="0"/>
          <w:numId w:val="8"/>
        </w:numPr>
        <w:tabs>
          <w:tab w:val="clear" w:pos="1429"/>
          <w:tab w:val="left" w:pos="1080"/>
        </w:tabs>
        <w:spacing w:line="360" w:lineRule="auto"/>
        <w:ind w:left="0" w:firstLine="720"/>
        <w:jc w:val="both"/>
        <w:rPr>
          <w:lang w:val="uk-UA"/>
        </w:rPr>
      </w:pPr>
      <w:r>
        <w:rPr>
          <w:lang w:val="uk-UA"/>
        </w:rPr>
        <w:lastRenderedPageBreak/>
        <w:t>інвестиційна привабливість акцій для портфельного інвестора представляє собою обґрунтовану імовірнісну діагностику ризику і потенційної прибутковості у середньостроковій (для консервативних інвесторів) та короткост</w:t>
      </w:r>
      <w:r>
        <w:rPr>
          <w:lang w:val="uk-UA"/>
        </w:rPr>
        <w:t>роковій (для агресивних інвесторів) перспективах.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b/>
          <w:bCs/>
          <w:lang w:val="uk-UA"/>
        </w:rPr>
        <w:t>У другому розділі „Методичні основи оцінки інвестиційної привабливості акцій відкритих акціонерних товариств”</w:t>
      </w:r>
      <w:r>
        <w:rPr>
          <w:lang w:val="uk-UA"/>
        </w:rPr>
        <w:t xml:space="preserve"> критично проаналізовано різні підходи до оцінки інвестиційної привабливості цінних паперів, зокр</w:t>
      </w:r>
      <w:r>
        <w:rPr>
          <w:lang w:val="uk-UA"/>
        </w:rPr>
        <w:t xml:space="preserve">ема теорія ефективного ринку,  технічний  та  фундаментальний    аналіз   і   зроблено  висновок   про неможливість їх застосування у “чистому вигляді” для визначення основних тенденцій фондового ринку  в Україні. </w:t>
      </w:r>
    </w:p>
    <w:p w:rsidR="00000000" w:rsidRDefault="000130BE">
      <w:pPr>
        <w:spacing w:line="360" w:lineRule="auto"/>
        <w:ind w:firstLine="720"/>
        <w:jc w:val="both"/>
        <w:rPr>
          <w:spacing w:val="-4"/>
          <w:lang w:val="uk-UA"/>
        </w:rPr>
      </w:pPr>
      <w:r>
        <w:rPr>
          <w:lang w:val="uk-UA"/>
        </w:rPr>
        <w:t xml:space="preserve">Так, згідно з теорією ефективного ринку, </w:t>
      </w:r>
      <w:r>
        <w:rPr>
          <w:lang w:val="uk-UA"/>
        </w:rPr>
        <w:t xml:space="preserve">ціни на акції змінюються випадково і не підвладні будь-яким стратегіям торгівлі цінними паперами. Проте,  на   думку автора, в положеннях теорії не враховано, що мотивація дій інвестора на ринку акцій ґрунтується на попередньому досвіді (інформації </w:t>
      </w:r>
      <w:r>
        <w:rPr>
          <w:spacing w:val="-4"/>
          <w:lang w:val="uk-UA"/>
        </w:rPr>
        <w:t>про цін</w:t>
      </w:r>
      <w:r>
        <w:rPr>
          <w:spacing w:val="-4"/>
          <w:lang w:val="uk-UA"/>
        </w:rPr>
        <w:t xml:space="preserve">и на акції у минулому, результати проведеного галузевого аналізу і т.п.). </w:t>
      </w:r>
    </w:p>
    <w:p w:rsidR="00000000" w:rsidRDefault="000130BE">
      <w:pPr>
        <w:pStyle w:val="3"/>
        <w:rPr>
          <w:sz w:val="24"/>
          <w:szCs w:val="24"/>
        </w:rPr>
      </w:pPr>
      <w:r>
        <w:rPr>
          <w:sz w:val="24"/>
          <w:szCs w:val="24"/>
        </w:rPr>
        <w:t>У роботі доведено, що у сучасних умовах функціонування фондового ринку в Україні, які характеризуються незначною часткою організованої  торгівлі  цінними паперами через біржі та тор</w:t>
      </w:r>
      <w:r>
        <w:rPr>
          <w:sz w:val="24"/>
          <w:szCs w:val="24"/>
        </w:rPr>
        <w:t>говельно-інформаційні системи (рис. 2) і майже повною відсутністю чітко вираженої тенденції руху цін на фінансові активи (тренду), застосування технічного аналізу при дослідженні інвестиційної привабливості акцій є досить проблематичним. Адже технічний ана</w:t>
      </w:r>
      <w:r>
        <w:rPr>
          <w:sz w:val="24"/>
          <w:szCs w:val="24"/>
        </w:rPr>
        <w:t xml:space="preserve">ліз дозволяє отримати інформацію про інвестиційну привабливість цінних паперів лише за умов котирування їх на організованому ринку.  </w:t>
      </w:r>
    </w:p>
    <w:p w:rsidR="00000000" w:rsidRDefault="000130BE">
      <w:pPr>
        <w:pStyle w:val="3"/>
        <w:rPr>
          <w:sz w:val="24"/>
          <w:szCs w:val="24"/>
        </w:rPr>
      </w:pPr>
      <w:r>
        <w:rPr>
          <w:sz w:val="24"/>
          <w:szCs w:val="24"/>
        </w:rPr>
        <w:t>Крім того, специфічні умови функціонування ринку цінних паперів в Україні  внаслідок короткої історії його розвитку наклад</w:t>
      </w:r>
      <w:r>
        <w:rPr>
          <w:sz w:val="24"/>
          <w:szCs w:val="24"/>
        </w:rPr>
        <w:t xml:space="preserve">ають відбиток на виконання основних постулатів технічного аналізу, одним із яких є циклічний характер руху цін на фондові інструменти. </w:t>
      </w:r>
    </w:p>
    <w:p w:rsidR="00000000" w:rsidRDefault="00EE228E">
      <w:pPr>
        <w:pStyle w:val="2"/>
        <w:ind w:left="720" w:firstLine="0"/>
        <w:rPr>
          <w:sz w:val="24"/>
          <w:szCs w:val="24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5486400" cy="26289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130BE">
        <w:rPr>
          <w:sz w:val="24"/>
          <w:szCs w:val="24"/>
        </w:rPr>
        <w:t xml:space="preserve">              </w:t>
      </w:r>
      <w:r w:rsidR="000130BE">
        <w:rPr>
          <w:sz w:val="24"/>
          <w:szCs w:val="24"/>
        </w:rPr>
        <w:t xml:space="preserve">                                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Рис.2.  Структура торгів на організованому та неорганізованому ринках цінних паперів в Україні у 1997-2003 рр. (%)</w:t>
      </w:r>
    </w:p>
    <w:p w:rsidR="00000000" w:rsidRDefault="000130BE">
      <w:pPr>
        <w:pStyle w:val="3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На підставі детального аналізу основних положень фундаментального аналізу та можливостей їх практичної реалі</w:t>
      </w:r>
      <w:r>
        <w:rPr>
          <w:sz w:val="24"/>
          <w:szCs w:val="24"/>
        </w:rPr>
        <w:t>зації для оцінки інвестиційних якостей акцій зроблено висновок про відсутність прямої залежності їх інвестиційної привабливості від стану макроекономічного середовища країни. У роботі зазначено, що циклічність розвитку  економіки, яка притаманна розвиненим</w:t>
      </w:r>
      <w:r>
        <w:rPr>
          <w:sz w:val="24"/>
          <w:szCs w:val="24"/>
        </w:rPr>
        <w:t xml:space="preserve"> західним країнам та характеризується нерівномірним розвитком галузей промисловості, не характерна для сучасного стану економіки України.  </w:t>
      </w:r>
    </w:p>
    <w:p w:rsidR="00000000" w:rsidRDefault="000130BE">
      <w:pPr>
        <w:pStyle w:val="3"/>
        <w:tabs>
          <w:tab w:val="left" w:pos="1440"/>
        </w:tabs>
        <w:rPr>
          <w:spacing w:val="-8"/>
          <w:sz w:val="24"/>
          <w:szCs w:val="24"/>
        </w:rPr>
      </w:pPr>
      <w:r>
        <w:rPr>
          <w:sz w:val="24"/>
          <w:szCs w:val="24"/>
        </w:rPr>
        <w:t>На основі співставлення динаміки таких макроекономічних показників як: реальний ВВП, обсяг грошових доходів населенн</w:t>
      </w:r>
      <w:r>
        <w:rPr>
          <w:sz w:val="24"/>
          <w:szCs w:val="24"/>
        </w:rPr>
        <w:t>я з урахуванням інфляції, обсяг інвестицій в основний капітал, роздрібний товарооборот  та середній курс гривні до долара США з обсягами виконаних угод по акціях на організованому ринку цінних паперів за період з 1998 по 2003 роки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зроблено висновок про від</w:t>
      </w:r>
      <w:r>
        <w:rPr>
          <w:sz w:val="24"/>
          <w:szCs w:val="24"/>
        </w:rPr>
        <w:t xml:space="preserve">сутність прямої залежності між станом економіки країни та активністю інвесторів на ринку акцій. У процесі аналізу було встановлено, що в той час, коли основні макроекономічні показники зростали (виключенням є динаміка курсу гривні до </w:t>
      </w:r>
      <w:r>
        <w:rPr>
          <w:spacing w:val="-8"/>
          <w:sz w:val="24"/>
          <w:szCs w:val="24"/>
        </w:rPr>
        <w:t>долара США), обсяги ви</w:t>
      </w:r>
      <w:r>
        <w:rPr>
          <w:spacing w:val="-8"/>
          <w:sz w:val="24"/>
          <w:szCs w:val="24"/>
        </w:rPr>
        <w:t xml:space="preserve">конаних угод на організованому ринку акцій стрімко падали. </w:t>
      </w:r>
    </w:p>
    <w:p w:rsidR="00000000" w:rsidRDefault="000130B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Таким чином, класична структура фундаментального аналізу в повному обсязі може бути застосована для оцінки фондового ринку України і його елементів лише іноземними інвесторами, які в процесі анал</w:t>
      </w:r>
      <w:r>
        <w:rPr>
          <w:sz w:val="24"/>
          <w:szCs w:val="24"/>
        </w:rPr>
        <w:t>ізу інвестиційного клімату країни досліджують нормативно-правові, політичні, соціальні, економічні й екологічні умови, що визначають ступінь ризикованості вкладень і стабільність інвестиційного середовища країни.</w:t>
      </w:r>
    </w:p>
    <w:p w:rsidR="00000000" w:rsidRDefault="000130BE">
      <w:pPr>
        <w:pStyle w:val="3"/>
        <w:rPr>
          <w:sz w:val="24"/>
          <w:szCs w:val="24"/>
        </w:rPr>
      </w:pPr>
      <w:r>
        <w:rPr>
          <w:sz w:val="24"/>
          <w:szCs w:val="24"/>
        </w:rPr>
        <w:t>Для вітчизняних інвесторів, чиї інвестиційн</w:t>
      </w:r>
      <w:r>
        <w:rPr>
          <w:sz w:val="24"/>
          <w:szCs w:val="24"/>
        </w:rPr>
        <w:t>і наміри, у переважній більшості випадків, обмежуються „домашнім” ринком, використання класичної послідовності проведення фундаментального аналізу економічно недоцільне. Розповсюджена у міжнародній практиці схема аналізу коректна лише за наявності циклів к</w:t>
      </w:r>
      <w:r>
        <w:rPr>
          <w:sz w:val="24"/>
          <w:szCs w:val="24"/>
        </w:rPr>
        <w:t xml:space="preserve">он’юнктури й акумуляції основної маси акцій в руках стратегічних інвесторів.  </w:t>
      </w:r>
    </w:p>
    <w:p w:rsidR="00000000" w:rsidRDefault="000130BE">
      <w:pPr>
        <w:pStyle w:val="2"/>
        <w:rPr>
          <w:sz w:val="24"/>
          <w:szCs w:val="24"/>
        </w:rPr>
      </w:pPr>
      <w:r>
        <w:rPr>
          <w:sz w:val="24"/>
          <w:szCs w:val="24"/>
        </w:rPr>
        <w:t>У зв’язку з цим  у роботі запропоновано алгоритм комплексного дослідження інвестиційної привабливості акцій відкритих акціонерних товариств, побудований на основі фундаментально</w:t>
      </w:r>
      <w:r>
        <w:rPr>
          <w:sz w:val="24"/>
          <w:szCs w:val="24"/>
        </w:rPr>
        <w:t xml:space="preserve">го аналізу, з розмежуванням понять „абсолютна та відносна  інвестиційна привабливість”  на виділених етапах  дослідження (рис.3). </w:t>
      </w:r>
    </w:p>
    <w:p w:rsidR="00000000" w:rsidRDefault="000130BE">
      <w:pPr>
        <w:pStyle w:val="2"/>
        <w:rPr>
          <w:sz w:val="24"/>
          <w:szCs w:val="24"/>
        </w:rPr>
      </w:pPr>
      <w:r>
        <w:rPr>
          <w:sz w:val="24"/>
          <w:szCs w:val="24"/>
        </w:rPr>
        <w:t>У  процесі селекції відкритих акціонерних товариств на регіональному,  галузевому та мікроекономічному етапах фундаментальног</w:t>
      </w:r>
      <w:r>
        <w:rPr>
          <w:sz w:val="24"/>
          <w:szCs w:val="24"/>
        </w:rPr>
        <w:t>о аналізу акцій доцільно, на думку автора, застосовувати поняття „відносна інвестиційна привабливість. Для оцінки ж  інвестиційної привабливості акцій конкретних акціонерних товариств – поняття „абсолютна інвестиційна привабливість”.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У третьому розділі </w:t>
      </w:r>
      <w:r>
        <w:rPr>
          <w:b/>
          <w:bCs/>
          <w:lang w:val="uk-UA"/>
        </w:rPr>
        <w:t>„Ос</w:t>
      </w:r>
      <w:r>
        <w:rPr>
          <w:b/>
          <w:bCs/>
          <w:lang w:val="uk-UA"/>
        </w:rPr>
        <w:t>новні напрямки удосконалення методики оцінки інвестиційної привабливості акцій відкритих акціонерних товариств”</w:t>
      </w:r>
      <w:r>
        <w:rPr>
          <w:lang w:val="uk-UA"/>
        </w:rPr>
        <w:t xml:space="preserve"> проаналізовані тенденції розвитку </w:t>
      </w:r>
      <w:r>
        <w:rPr>
          <w:lang w:val="uk-UA"/>
        </w:rPr>
        <w:lastRenderedPageBreak/>
        <w:t>ринку акцій Полтавської області, розроблено пропозиції  щодо  вдосконалення  методичних   підходів  до   експр</w:t>
      </w:r>
      <w:r>
        <w:rPr>
          <w:lang w:val="uk-UA"/>
        </w:rPr>
        <w:t xml:space="preserve">ес-діагностики </w:t>
      </w: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відносної інвестиційної привабливості  відкритих акціонерних товариств на регіональному та галузевому рівнях та оцінки абсолютної інвестиційної привабливості акцій конкретних відкритих акціонерних товариств. </w:t>
      </w:r>
    </w:p>
    <w:p w:rsidR="00000000" w:rsidRDefault="000130BE">
      <w:pPr>
        <w:pStyle w:val="2"/>
        <w:rPr>
          <w:sz w:val="24"/>
          <w:szCs w:val="24"/>
        </w:rPr>
      </w:pPr>
    </w:p>
    <w:p w:rsidR="00000000" w:rsidRDefault="00EE228E">
      <w:pPr>
        <w:pStyle w:val="2"/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2922905" cy="800100"/>
                <wp:effectExtent l="0" t="0" r="0" b="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800100"/>
                        </a:xfrm>
                        <a:prstGeom prst="downArrowCallout">
                          <a:avLst>
                            <a:gd name="adj1" fmla="val 91329"/>
                            <a:gd name="adj2" fmla="val 9132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130BE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Оцінка інвестиційної приваблив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ості країни (для іноземних інвесторів )</w:t>
                            </w:r>
                          </w:p>
                          <w:p w:rsidR="00000000" w:rsidRDefault="00013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9" o:spid="_x0000_s1083" type="#_x0000_t80" style="position:absolute;left:0;text-align:left;margin-left:18pt;margin-top:16pt;width:230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FUcgMAAEsHAAAOAAAAZHJzL2Uyb0RvYy54bWysVdtu4zYQfS/QfyD47ujuixBlkXjttsBu&#10;GzQp+kyLlMWWIlWStpwW/fcOR4pXuwsUQVEbEDjiaDjnzMzh7btLp8hZWCeNrmhyE1MidG241MeK&#10;/vK8X6wpcZ5pzpTRoqIvwtF3d99+czv0pUhNaxQXlkAQ7cqhr2jrfV9Gkatb0TF3Y3qhYbMxtmMe&#10;THuMuGUDRO9UlMbxMhqM5b01tXAO3r4fN+kdxm8aUfufmsYJT1RFITePT4vPQ3hGd7esPFrWt7Ke&#10;0mD/IYuOSQ2HXkO9Z56Rk5VfhepkbY0zjb+pTReZppG1QAyAJom/QPPUsl4gFiDH9Vea3P8Xtv7x&#10;/GiJ5BVdUqJZByW6P3mDJ5NiE/gZeleC21P/aANC138w9e+OaLNtmT6Ke2vN0ArGIask+EeffRAM&#10;B5+Sw/DRcAjPIDxSdWlsFwICCeSCFXm5VkRcPKnhZbpJ001cUFLD3joGirBkEStfv+6t898J05Gw&#10;qCg3g8aMtkwpc/J4Ejt/cB6rwyeMjP+WUNJ0Cop9ZopskixFsFDBmU/6Bp9s7pMsl8vV1FSzOPnc&#10;B1xGH0AxZQarVxxIsVGS76VSaNjjYassgTQruscfsgyVmLspTYaKboq0QMid9DBXSnZIWzzSxspQ&#10;p53m2PWeSTWu4Xilw1kCJwbIQgdXCy0yHjZq6AzLJo6VOLL65RGGvof5kmfxbPqf5bH1I3AVlmAT&#10;K0EDRue9Yh6I4hJG7/Ca/qfwrs84gZrbU9CR7yHn9SqHnPHAjwygyIB+jAW2D1PByoM4C/UccCdZ&#10;Edzb62rsBuhPJcas0Pfhbb7XTID3fy/B557AY0CCTF781HOhlVEJ/rrfF/Eqz9aL1arIFnm2ixcP&#10;6/12cb+FtlntHrYPu+TvACzJy1ZyLvQO6+FehSnJ3zb4k0SOknKVpmtxQ34wGsI+tXyAmoS5yYpN&#10;ChOBBUpX0C+BTqaOIOq1t5RY43+VvkVdCFP6FS3rOPyn0l6jgxrMuipYX2IbPS4wnsFzYg0lJKjG&#10;qD7+crigRkGKkyAdDH8BUYG0UDngBoJFa+yflAyg5hV1f5yYFZSoHzQI0ybJ8yD/aOTFKgXDzncO&#10;8x2mawhVUQ8U4HLrxyvj1ENPt3BSggRoE7SykWFcMOUxq8kAxUZQ0+0SroS5jV6f7sC7fwAAAP//&#10;AwBQSwMEFAAGAAgAAAAhAHVTXsTeAAAACQEAAA8AAABkcnMvZG93bnJldi54bWxMj8FOwzAQRO9I&#10;/IO1SFwQdZqSqA1xKgTh1ksLl97ceJtExOvIdtvA17Ocymm0mtHsm3I92UGc0YfekYL5LAGB1DjT&#10;U6vg8+P9cQkiRE1GD45QwTcGWFe3N6UujLvQFs+72AouoVBoBV2MYyFlaDq0OszciMTe0XmrI5++&#10;lcbrC5fbQaZJkkure+IPnR7xtcPma3eyCurNfL/3W3yo641GG7KfLKRvSt3fTS/PICJO8RqGP3xG&#10;h4qZDu5EJohBwSLnKZE1ZWX/aZUvQBw4mC0TkFUp/y+ofgEAAP//AwBQSwECLQAUAAYACAAAACEA&#10;toM4kv4AAADhAQAAEwAAAAAAAAAAAAAAAAAAAAAAW0NvbnRlbnRfVHlwZXNdLnhtbFBLAQItABQA&#10;BgAIAAAAIQA4/SH/1gAAAJQBAAALAAAAAAAAAAAAAAAAAC8BAABfcmVscy8ucmVsc1BLAQItABQA&#10;BgAIAAAAIQAFMbFUcgMAAEsHAAAOAAAAAAAAAAAAAAAAAC4CAABkcnMvZTJvRG9jLnhtbFBLAQIt&#10;ABQABgAIAAAAIQB1U17E3gAAAAkBAAAPAAAAAAAAAAAAAAAAAMwFAABkcnMvZG93bnJldi54bWxQ&#10;SwUGAAAAAAQABADzAAAA1wYAAAAA&#10;" o:allowincell="f">
                <o:extrusion v:ext="view" backdepth="1in" color="white" on="t" type="perspective"/>
                <v:textbox>
                  <w:txbxContent>
                    <w:p w:rsidR="00000000" w:rsidRDefault="000130BE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Оцінка інвестиційної приваблив</w:t>
                      </w:r>
                      <w:r>
                        <w:rPr>
                          <w:sz w:val="24"/>
                          <w:szCs w:val="24"/>
                        </w:rPr>
                        <w:t>ості країни (для іноземних інвесторів )</w:t>
                      </w:r>
                    </w:p>
                    <w:p w:rsidR="00000000" w:rsidRDefault="000130BE"/>
                  </w:txbxContent>
                </v:textbox>
                <w10:anchorlock/>
              </v:shape>
            </w:pict>
          </mc:Fallback>
        </mc:AlternateContent>
      </w:r>
    </w:p>
    <w:p w:rsidR="00000000" w:rsidRDefault="000130BE">
      <w:pPr>
        <w:pStyle w:val="2"/>
        <w:rPr>
          <w:sz w:val="24"/>
          <w:szCs w:val="24"/>
        </w:rPr>
      </w:pPr>
    </w:p>
    <w:p w:rsidR="00000000" w:rsidRDefault="000130BE">
      <w:pPr>
        <w:pStyle w:val="3"/>
        <w:rPr>
          <w:sz w:val="24"/>
          <w:szCs w:val="24"/>
        </w:rPr>
      </w:pPr>
    </w:p>
    <w:p w:rsidR="00000000" w:rsidRDefault="00EE228E">
      <w:pPr>
        <w:pStyle w:val="3"/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99695</wp:posOffset>
                </wp:positionV>
                <wp:extent cx="2922905" cy="692150"/>
                <wp:effectExtent l="0" t="0" r="0" b="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692150"/>
                        </a:xfrm>
                        <a:prstGeom prst="downArrowCallout">
                          <a:avLst>
                            <a:gd name="adj1" fmla="val 105573"/>
                            <a:gd name="adj2" fmla="val 10557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130BE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Оцінка інвестиційної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привабливості  регіону</w:t>
                            </w:r>
                          </w:p>
                          <w:p w:rsidR="00000000" w:rsidRDefault="00013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84" type="#_x0000_t80" style="position:absolute;left:0;text-align:left;margin-left:81pt;margin-top:7.85pt;width:230.1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OlbgMAAE0HAAAOAAAAZHJzL2Uyb0RvYy54bWysVdtu4zYQfS+w/0Dw3dHdFyHKIvHabYHd&#10;NmhS9JkWKYtbilRJ2nJa9N87HCleZwMUwWJtQOCIR8Mzt8Pr96dOkaOwThpd0eQqpkTo2nCp9xX9&#10;/XE7W1LiPNOcKaNFRZ+Eo+9v3v1wPfSlSE1rFBeWgBPtyqGvaOt9X0aRq1vRMXdleqFhszG2Yx5M&#10;u4+4ZQN471SUxvE8GozlvTW1cA7efhg36Q36bxpR+1+bxglPVEWBm8enxecuPKOba1buLetbWU80&#10;2Dew6JjUcOjZ1QfmGTlY+cpVJ2trnGn8VW26yDSNrAXGANEk8VfRPLSsFxgLJMf15zS57+e2/uV4&#10;b4nkFS0o0ayDEt0evMGTyRzzM/SuBNhDf29DhK7/aOo/HdFm3TK9F7fWmqEVjAOrJOQzevFBMBx8&#10;SnbDJ8PBPQP3mKpTY7vgEJJATliRp3NFxMmTGl6mqzRdxUCthr35Kk0KpBSx8vnr3jr/ozAdCYuK&#10;cjNoZLRmSpmDx5PY8aPzWB0+xcj454SSplNQ7CNTJImLYpFN3XABSt8Cyl6A5vP54rWj/BIDkBED&#10;cUzcYPUcCSbZKMm3Uik07H63VpYA0Ypu8Yd5hlpcwpQmQ0VXRVpg0J30MFlKdhVdxuE3kgqV2miO&#10;fe+ZVOMajlc6nCVwZiBdCHC10CLjYaOG3rBsyrISe1Y/3cPY9zBh8igeTf+b3Ld+PEOFJdjESlCB&#10;EbxVzEOiuITh2z3T/+Le9RknUHV7CEryE3BeLnLgjAd+YhCKDNGPvsD2YS5YuRNHoR5D3ElWBHh7&#10;Xo39AB2qxMgKsXdvw56ZQN7/vwQvkZDHEAlm8uSnrgvNjFrwz+22iBd5tpwtFkU2y7NNPLtbbtez&#10;23UCHbG5W99tkn9DYEletpJzoTdYD/csTUn+ttGfRHIUlbM4nYsb+MFwCPvQ8gFqEiYnK2C8pgKl&#10;i7FjCFN7kPXaW0qs8X9I36IyhDl9lZZlHP5Tac/eQQ8uuipYX8c2Ik4woAE5ZQ1FJOhGUHJX+tPu&#10;hCqVpuGA8Gpn+BPICtBC7YA7CBatsX9TMoCeV9T9dWBWUKJ+1iBNqyTPwwWARl4sUjDs5c7ucofp&#10;GlxV1FMyLtd+vDQOPfR0CyclmABtglo2MowLUh5ZTQZoNgY13S/hUri0EfXlFrz5DwAA//8DAFBL&#10;AwQUAAYACAAAACEAIwFAEN4AAAAKAQAADwAAAGRycy9kb3ducmV2LnhtbEyPMU/DMBCFdyT+g3VI&#10;LIg6NSRFIU6FIGxdWli6ufGRRMTnyHbbwK/nmGC7d/f07nvVenajOGGIgycNy0UGAqn1dqBOw/vb&#10;6+0DiJgMWTN6Qg1fGGFdX15UprT+TFs87VInOIRiaTT0KU2llLHt0Zm48BMS3z58cCaxDJ20wZw5&#10;3I1SZVkhnRmIP/Rmwuce28/d0WloNsv9Pmzxpmk2Bl3Mv/OoXrS+vpqfHkEknNOfGX7xGR1qZjr4&#10;I9koRtaF4i6Jh3wFgg2FUncgDrxQ9yuQdSX/V6h/AAAA//8DAFBLAQItABQABgAIAAAAIQC2gziS&#10;/gAAAOEBAAATAAAAAAAAAAAAAAAAAAAAAABbQ29udGVudF9UeXBlc10ueG1sUEsBAi0AFAAGAAgA&#10;AAAhADj9If/WAAAAlAEAAAsAAAAAAAAAAAAAAAAALwEAAF9yZWxzLy5yZWxzUEsBAi0AFAAGAAgA&#10;AAAhAApCI6VuAwAATQcAAA4AAAAAAAAAAAAAAAAALgIAAGRycy9lMm9Eb2MueG1sUEsBAi0AFAAG&#10;AAgAAAAhACMBQBDeAAAACgEAAA8AAAAAAAAAAAAAAAAAyAUAAGRycy9kb3ducmV2LnhtbFBLBQYA&#10;AAAABAAEAPMAAADTBgAAAAA=&#10;" o:allowincell="f">
                <o:extrusion v:ext="view" backdepth="1in" color="white" on="t" type="perspective"/>
                <v:textbox>
                  <w:txbxContent>
                    <w:p w:rsidR="00000000" w:rsidRDefault="000130BE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Оцінка інвестиційної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привабливості  регіону</w:t>
                      </w:r>
                    </w:p>
                    <w:p w:rsidR="00000000" w:rsidRDefault="000130BE"/>
                  </w:txbxContent>
                </v:textbox>
                <w10:anchorlock/>
              </v:shape>
            </w:pict>
          </mc:Fallback>
        </mc:AlternateContent>
      </w:r>
    </w:p>
    <w:p w:rsidR="00000000" w:rsidRDefault="000130BE">
      <w:pPr>
        <w:pStyle w:val="3"/>
        <w:rPr>
          <w:sz w:val="24"/>
          <w:szCs w:val="24"/>
        </w:rPr>
      </w:pPr>
    </w:p>
    <w:p w:rsidR="00000000" w:rsidRDefault="000130BE">
      <w:pPr>
        <w:pStyle w:val="3"/>
        <w:rPr>
          <w:sz w:val="24"/>
          <w:szCs w:val="24"/>
        </w:rPr>
      </w:pPr>
    </w:p>
    <w:p w:rsidR="00000000" w:rsidRDefault="00EE228E">
      <w:pPr>
        <w:pStyle w:val="3"/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-3175</wp:posOffset>
                </wp:positionV>
                <wp:extent cx="2922905" cy="6858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685800"/>
                        </a:xfrm>
                        <a:prstGeom prst="downArrowCallout">
                          <a:avLst>
                            <a:gd name="adj1" fmla="val 106551"/>
                            <a:gd name="adj2" fmla="val 10655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130BE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Оцінка інвестиційної привабливості галузей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економіки</w:t>
                            </w:r>
                          </w:p>
                          <w:p w:rsidR="00000000" w:rsidRDefault="00013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85" type="#_x0000_t80" style="position:absolute;left:0;text-align:left;margin-left:2in;margin-top:-.25pt;width:230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lOdQMAAE0HAAAOAAAAZHJzL2Uyb0RvYy54bWysVdtu2zgQfV9g/4Hgu6O7b4hSJK7dLtBL&#10;0KTYZ1qkLG4pUiVpy+li/73DkeI4DbAIFisDAmmOZs6cmTm8fHNsFTkI66TRJU0uYkqErgyXelfS&#10;r/ebyZwS55nmTBktSvogHH1z9ftvl323FKlpjOLCEnCi3bLvStp43y2jyFWNaJm7MJ3QcFgb2zIP&#10;W7uLuGU9eG9VlMbxNOqN5Z01lXAO/n07HNIr9F/XovKf69oJT1RJAZvHt8X3Nryjq0u23FnWNbIa&#10;YbD/gKJlUkPQk6u3zDOyt/KFq1ZW1jhT+4vKtJGpa1kJzAGySeJfsrlrWCcwFyDHdSea3P/ntvp0&#10;uLVE8pLmlGjWQomu995gZDJNAj9955Zgdtfd2pCh6z6Y6psj2qwapnfi2lrTN4JxQIX20bMPwsbB&#10;p2TbfzQc3DNwj1Qda9sGh0ACOWJFHk4VEUdPKvgzXaTpIi4oqeBsOi/mMZYsYsvHrzvr/DthWhIW&#10;JeWm14hoxZQye4+R2OGD81gdPubI+F8JJXWroNgHpkgST4sC0UMJz4zS1xhlz4ym0+lsbKszR8Du&#10;UzQwGWwgjxEbrB4zQZKNknwjlcKN3W1XyhIAWtINPiEAfOLOzZQmfUkXRVpg0q30MFlKtiUF1uAZ&#10;QIVKrTXHvvdMqmENvpQOsQTODNCFBq4SWmQ8HFTQG5aNLCuxY9XDLYx9BxMmD+LedF/krvFDDBWW&#10;sCdWggoMxhvFPBDFJQzf9hH+k3vXZZxA1e0+KMl7wDyf5YAZA35kkIoM2Q++YO/DXLDlVhyEug95&#10;J1kRzJvTaugH6FAlBlRoe/M62xMS4P3fS/DcMtQEMkEmj37sutDMqAV/X2+KeJZn88lsVmSTPFvH&#10;k5v5ZjW5XiXQEeub1c06+SckluTLRnIu9Brr4R6lKclfN/qjSA6ichKnU3EDPhgOYe8a3kNNwuRk&#10;xSKFmcACpbOhYwhTO5D1yltKrPF/St+gMoQ5fUHLPA6/sbQn79inZ4GjF7kNFkcYUGAPuELWUESC&#10;bgz644/bI6pUmoUAQVS2hj+ArAAs1A64g2DRGPuDkh70vKTu+55ZQYn6Q4M0LZI8DxcAbvJilsLG&#10;np9sz0+YrsBVST0lw3Llh0tj30FPNxApQQK0CWpZyzAuCHlANW5AszGp8X4Jl8L5Hq2ebsGrnwAA&#10;AP//AwBQSwMEFAAGAAgAAAAhADfvBBHeAAAACQEAAA8AAABkcnMvZG93bnJldi54bWxMjzFPwzAU&#10;hHck/oP1kFhQ6zQQGqVxKgRh69LC0s2NX5OI+Dmy3Tbw63lMZTzd6e67cj3ZQZzRh96RgsU8AYHU&#10;ONNTq+Dz432WgwhRk9GDI1TwjQHW1e1NqQvjLrTF8y62gksoFFpBF+NYSBmaDq0OczcisXd03urI&#10;0rfSeH3hcjvINEmepdU98UKnR3ztsPnanayCerPY7/0WH+p6o9GG7CcL6ZtS93fTywpExClew/CH&#10;z+hQMdPBncgEMShI85y/RAWzDAT7y6f8EcSBg8kyA1mV8v+D6hcAAP//AwBQSwECLQAUAAYACAAA&#10;ACEAtoM4kv4AAADhAQAAEwAAAAAAAAAAAAAAAAAAAAAAW0NvbnRlbnRfVHlwZXNdLnhtbFBLAQIt&#10;ABQABgAIAAAAIQA4/SH/1gAAAJQBAAALAAAAAAAAAAAAAAAAAC8BAABfcmVscy8ucmVsc1BLAQIt&#10;ABQABgAIAAAAIQCMiPlOdQMAAE0HAAAOAAAAAAAAAAAAAAAAAC4CAABkcnMvZTJvRG9jLnhtbFBL&#10;AQItABQABgAIAAAAIQA37wQR3gAAAAkBAAAPAAAAAAAAAAAAAAAAAM8FAABkcnMvZG93bnJldi54&#10;bWxQSwUGAAAAAAQABADzAAAA2gYAAAAA&#10;" o:allowincell="f">
                <o:extrusion v:ext="view" backdepth="1in" color="white" on="t" type="perspective"/>
                <v:textbox>
                  <w:txbxContent>
                    <w:p w:rsidR="00000000" w:rsidRDefault="000130BE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Оцінка інвестиційної привабливості галузей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економіки</w:t>
                      </w:r>
                    </w:p>
                    <w:p w:rsidR="00000000" w:rsidRDefault="000130BE"/>
                  </w:txbxContent>
                </v:textbox>
                <w10:anchorlock/>
              </v:shape>
            </w:pict>
          </mc:Fallback>
        </mc:AlternateContent>
      </w:r>
    </w:p>
    <w:p w:rsidR="00000000" w:rsidRDefault="000130BE">
      <w:pPr>
        <w:pStyle w:val="3"/>
        <w:rPr>
          <w:sz w:val="24"/>
          <w:szCs w:val="24"/>
        </w:rPr>
      </w:pPr>
    </w:p>
    <w:p w:rsidR="00000000" w:rsidRDefault="00EE228E">
      <w:pPr>
        <w:pStyle w:val="3"/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2922905" cy="6858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685800"/>
                        </a:xfrm>
                        <a:prstGeom prst="downArrowCallout">
                          <a:avLst>
                            <a:gd name="adj1" fmla="val 106551"/>
                            <a:gd name="adj2" fmla="val 10655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130BE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Оцінка інвестиційної привабливості відкритих акціонерних товариств</w:t>
                            </w:r>
                          </w:p>
                          <w:p w:rsidR="00000000" w:rsidRDefault="00013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86" type="#_x0000_t80" style="position:absolute;left:0;text-align:left;margin-left:198pt;margin-top:9.35pt;width:230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ZpdQMAAE0HAAAOAAAAZHJzL2Uyb0RvYy54bWysVdtu4zYQfS/QfyD47uhiyTdEWSReuy2w&#10;2wZNij7TJGWxpUiVpC2nRf+9w5Hi1e4CRVBUBgSOORqeOTNzePvu0mpyls4rayqa3aSUSMOtUOZY&#10;0V+e97MVJT4wI5i2Rlb0RXr67u7bb277biNz21gtpCMQxPhN31W0CaHbJInnjWyZv7GdNLBZW9ey&#10;AKY7JsKxHqK3OsnTdJH01onOWS69h3/fD5v0DuPXteThp7r2MhBdUcAW8O3wfYjv5O6WbY6OdY3i&#10;Iwz2H1C0TBk49BrqPQuMnJz6KlSruLPe1uGG2zaxda24xBwgmyz9IpunhnUScwFyfHelyf9/YfmP&#10;50dHlKjonBLDWijR/SlYPJks8shP3/kNuD11jy5m6LsPlv/uibHbhpmjvHfO9o1kAlBl0T/57INo&#10;ePiUHPqPVkB4BuGRqkvt2hgQSCAXrMjLtSLyEgiHP/N1nq/TkhIOe4tVuUqxZAnbvH7dOR++k7Yl&#10;cVFRYXuDiLZMa3sKeBI7f/ABqyPGHJn4LaOkbjUU+8w0ydJFWSJ6KOHEKX+LEzA3ibRYLJZjW00C&#10;FVMfcBl8II8RG6xeM0GSrVZir7RGwx0PW+0IAK3oHh/kGWoxddOG9BVdl3mJSbcqwGRp1VYUWINn&#10;ABUrtTMC+z4wpYc1HK9NPEvizABd6OC5NHIu4gaH3nBsZFnLI+MvjzD2HUyYOstn2/2sjk0YztBx&#10;CTZxClRgcN5rFoAooWD4Dq/wP4X33VwQqLo7RSX5HjCvlgVgxgM/MkhFxeyHWGCHOBdsc5BnqZ9j&#10;3tm8jO7NdTX0A3SolgMq9H14m+8VCfD+7yX43BN4jJkgk5cwdl1sZtSCv+73Zbos5qvZclnOZ8V8&#10;l84eVvvt7H6bQUfsHrYPu+zvmFhWbBolhDQ7rId/laaseNvojyI5iMpVnK7FjfhgOKR7akQPNYmT&#10;My/XOcwEFihfDh1DmD6CrPPgKHE2/KpCg8oQ5/QrWlZp/I2lvUYHPZh0VbS+zG3wuMCARs+RNRSR&#10;qBuD/oTL4YIqlRfxgCgqByteQFYAFmoH3EGwaKz7k5Ie9Lyi/o8Tc5IS/YMBaVpnRREvADSKcpmD&#10;4aY7h+kOMxxCVTRQMiy3Ybg0Th30dAMnZUiAsVEtaxXHBSEPqEYDNBuTGu+XeClMbfT6dAve/QMA&#10;AP//AwBQSwMEFAAGAAgAAAAhAHKi9G/fAAAACgEAAA8AAABkcnMvZG93bnJldi54bWxMj8FOwzAQ&#10;RO9I/IO1SFwQdZoqaQhxKgTh1ksLl9628ZJExHZku23g61lOcNyZ0eybajObUZzJh8FZBctFAoJs&#10;6/RgOwXvb6/3BYgQ0WocnSUFXxRgU19fVVhqd7E7Ou9jJ7jEhhIV9DFOpZSh7clgWLiJLHsfzhuM&#10;fPpOao8XLjejTJMklwYHyx96nOi5p/ZzfzIKmu3ycPA7umuaLZIJ2XcW0helbm/mp0cQkeb4F4Zf&#10;fEaHmpmO7mR1EKOC1UPOWyIbxRoEB4osX4E4spDma5B1Jf9PqH8AAAD//wMAUEsBAi0AFAAGAAgA&#10;AAAhALaDOJL+AAAA4QEAABMAAAAAAAAAAAAAAAAAAAAAAFtDb250ZW50X1R5cGVzXS54bWxQSwEC&#10;LQAUAAYACAAAACEAOP0h/9YAAACUAQAACwAAAAAAAAAAAAAAAAAvAQAAX3JlbHMvLnJlbHNQSwEC&#10;LQAUAAYACAAAACEAdhlWaXUDAABNBwAADgAAAAAAAAAAAAAAAAAuAgAAZHJzL2Uyb0RvYy54bWxQ&#10;SwECLQAUAAYACAAAACEAcqL0b98AAAAKAQAADwAAAAAAAAAAAAAAAADPBQAAZHJzL2Rvd25yZXYu&#10;eG1sUEsFBgAAAAAEAAQA8wAAANsGAAAAAA==&#10;" o:allowincell="f">
                <o:extrusion v:ext="view" backdepth="1in" color="white" on="t" type="perspective"/>
                <v:textbox>
                  <w:txbxContent>
                    <w:p w:rsidR="00000000" w:rsidRDefault="000130BE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Оцінка інвестиційної привабливості відкритих акціонерних товариств</w:t>
                      </w:r>
                    </w:p>
                    <w:p w:rsidR="00000000" w:rsidRDefault="000130BE"/>
                  </w:txbxContent>
                </v:textbox>
                <w10:anchorlock/>
              </v:shape>
            </w:pict>
          </mc:Fallback>
        </mc:AlternateContent>
      </w:r>
    </w:p>
    <w:p w:rsidR="00000000" w:rsidRDefault="000130BE">
      <w:pPr>
        <w:pStyle w:val="3"/>
        <w:rPr>
          <w:sz w:val="24"/>
          <w:szCs w:val="24"/>
        </w:rPr>
      </w:pPr>
    </w:p>
    <w:p w:rsidR="00000000" w:rsidRDefault="000130BE">
      <w:pPr>
        <w:pStyle w:val="3"/>
        <w:jc w:val="center"/>
        <w:rPr>
          <w:sz w:val="24"/>
          <w:szCs w:val="24"/>
        </w:rPr>
      </w:pPr>
    </w:p>
    <w:p w:rsidR="00000000" w:rsidRDefault="00EE228E">
      <w:pPr>
        <w:pStyle w:val="3"/>
        <w:jc w:val="left"/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</wp:posOffset>
                </wp:positionV>
                <wp:extent cx="2922905" cy="914400"/>
                <wp:effectExtent l="0" t="0" r="0" b="0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914400"/>
                        </a:xfrm>
                        <a:prstGeom prst="downArrowCallout">
                          <a:avLst>
                            <a:gd name="adj1" fmla="val 79913"/>
                            <a:gd name="adj2" fmla="val 7991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130BE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Оцінка інвестиційної прив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абливості акцій відкритих акціонерних товариств</w:t>
                            </w:r>
                          </w:p>
                          <w:p w:rsidR="00000000" w:rsidRDefault="00013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87" type="#_x0000_t80" style="position:absolute;left:0;text-align:left;margin-left:252pt;margin-top:1.2pt;width:230.1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SPcwMAAEsHAAAOAAAAZHJzL2Uyb0RvYy54bWysVduO2zYQfQ/QfyD47tXNsmxjtcGuYycB&#10;knbR3SLPtEhZbChSIWnLm6L/3uFI6ygJ0ARFZUAgzaO5nJk5vH55bhU5Ceuk0SVNrmJKhK4Ml/pQ&#10;0j8ed7MlJc4zzZkyWpT0STj68uaXF9d9txapaYziwhIwot2670raeN+to8hVjWiZuzKd0HBYG9sy&#10;D1t7iLhlPVhvVZTG8SLqjeWdNZVwDv59NRzSG7Rf16Lyv9W1E56okkJsHt8W3/vwjm6u2fpgWdfI&#10;agyD/YcoWiY1OL2YesU8I0crvzPVysoaZ2p/VZk2MnUtK4E5QDZJ/E02Dw3rBOYC5LjuQpP7/8xW&#10;v57uLZG8pCklmrVQotujN+iZLLLAT9+5NcAeunsbMnTdO1N9dESbTcP0Qdxaa/pGMA5RJQEfffVB&#10;2Dj4lOz794aDeQbmkapzbdtgEEggZ6zI06Ui4uxJBX+mqzRdxTklFZytkvk8xpJFbP38dWedfy1M&#10;S8KipNz0GiPaMKXM0aMndnrnPFaHjzky/mdCSd0qKPaJKVKsVgkmCxWcYICTH2KyKSZZLBbF2FQT&#10;O/MpBiADBrIYI4PVcx5IsVGS76RSuLGH/UZZAmGWdIcPsgyVmMKUJj1QlKc5ptxKD3OlZFvSZRye&#10;IahQp63m2PWeSTWswb3SwZfAiQGyEOAqoUXGw0EFnWHZyLESB1Y93cPQdzBf8iQeTfe7PDR+8KHC&#10;EvbEStCAAbxTzANRXMLo7Z/D/2LedRknUHN7DDryBmJeFqHU6PA9g1RkyH6wBXsfpoKt9+Ik1GPI&#10;O8nyAG8uq6EboD+VGKJC7N3PYS+RAO//XoKvkcBjyASZPPux50IroxL8dbvL42KeLWdFkWezebaN&#10;Z3fL3WZ2u4G2KbZ3m7tt8ndILJmvG8m50Fush3sWpmT+c4M/SuQgKRdpuhQ3xAejIexDw3uoSZib&#10;LF+lMBFYoLQYOoYwdQBRr7ylxBr/QfoGdSFM6Xe0LOPwG0t7sQ5qMOmqsPs2twFxhvEMyJE1lJCg&#10;GoP6+PP+PGhUHhwESdkb/gSiAmGhcsANBIvG2M+U9KDmJXWfjswKStRbDcKE0gHyj5t5XqTQLHZ6&#10;sp+eMF2BqZJ6Soblxg9XxrGDnm7AU4IEaBO0spZhXDDkIapxA4qNSY23S7gSpntEfbkDb/4BAAD/&#10;/wMAUEsDBBQABgAIAAAAIQBj+oKH3gAAAAkBAAAPAAAAZHJzL2Rvd25yZXYueG1sTI8xT8MwFIR3&#10;JP6D9ZBYEHUanAhCnApB2Lq0sHR7jR9JRGxHsduG/vo+JhhPd7r7rlzNdhBHmkLvnYblIgFBrvGm&#10;d62Gz4/3+0cQIaIzOHhHGn4owKq6viqxMP7kNnTcxlZwiQsFauhiHAspQ9ORxbDwIzn2vvxkMbKc&#10;WmkmPHG5HWSaJLm02Dte6HCk146a7+3BaqjXy91u2tBdXa+RbMjOWUjftL69mV+eQUSa418YfvEZ&#10;HSpm2vuDM0EMGrJE8ZeoIVUg2H/K1QOIPQdVrkBWpfz/oLoAAAD//wMAUEsBAi0AFAAGAAgAAAAh&#10;ALaDOJL+AAAA4QEAABMAAAAAAAAAAAAAAAAAAAAAAFtDb250ZW50X1R5cGVzXS54bWxQSwECLQAU&#10;AAYACAAAACEAOP0h/9YAAACUAQAACwAAAAAAAAAAAAAAAAAvAQAAX3JlbHMvLnJlbHNQSwECLQAU&#10;AAYACAAAACEASaBEj3MDAABLBwAADgAAAAAAAAAAAAAAAAAuAgAAZHJzL2Uyb0RvYy54bWxQSwEC&#10;LQAUAAYACAAAACEAY/qCh94AAAAJAQAADwAAAAAAAAAAAAAAAADNBQAAZHJzL2Rvd25yZXYueG1s&#10;UEsFBgAAAAAEAAQA8wAAANgGAAAAAA==&#10;" o:allowincell="f">
                <o:extrusion v:ext="view" backdepth="1in" color="white" on="t" type="perspective"/>
                <v:textbox>
                  <w:txbxContent>
                    <w:p w:rsidR="00000000" w:rsidRDefault="000130BE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Оцінка інвестиційної прив</w:t>
                      </w:r>
                      <w:r>
                        <w:rPr>
                          <w:sz w:val="24"/>
                          <w:szCs w:val="24"/>
                        </w:rPr>
                        <w:t>абливості акцій відкритих акціонерних товариств</w:t>
                      </w:r>
                    </w:p>
                    <w:p w:rsidR="00000000" w:rsidRDefault="000130BE"/>
                  </w:txbxContent>
                </v:textbox>
                <w10:anchorlock/>
              </v:shape>
            </w:pict>
          </mc:Fallback>
        </mc:AlternateContent>
      </w:r>
    </w:p>
    <w:p w:rsidR="00000000" w:rsidRDefault="000130BE">
      <w:pPr>
        <w:pStyle w:val="3"/>
        <w:jc w:val="left"/>
        <w:rPr>
          <w:sz w:val="24"/>
          <w:szCs w:val="24"/>
        </w:rPr>
      </w:pPr>
    </w:p>
    <w:p w:rsidR="00000000" w:rsidRDefault="000130BE">
      <w:pPr>
        <w:pStyle w:val="3"/>
        <w:ind w:firstLine="709"/>
        <w:rPr>
          <w:sz w:val="24"/>
          <w:szCs w:val="24"/>
        </w:rPr>
      </w:pPr>
    </w:p>
    <w:p w:rsidR="00000000" w:rsidRDefault="000130BE">
      <w:pPr>
        <w:pStyle w:val="3"/>
        <w:ind w:firstLine="709"/>
        <w:rPr>
          <w:sz w:val="24"/>
          <w:szCs w:val="24"/>
        </w:rPr>
      </w:pPr>
    </w:p>
    <w:p w:rsidR="00000000" w:rsidRDefault="000130BE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>Рис. 3. Алгоритм фундаментального аналізу акцій відкритих акціонерних товариств</w:t>
      </w:r>
    </w:p>
    <w:p w:rsidR="00000000" w:rsidRDefault="000130BE">
      <w:pPr>
        <w:tabs>
          <w:tab w:val="left" w:pos="1080"/>
        </w:tabs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Проведені дослідження інвестиційних процесів, що відбулися протягом 1999-2003  рр. на ринку акцій Полтавської області, д</w:t>
      </w:r>
      <w:r>
        <w:rPr>
          <w:lang w:val="uk-UA"/>
        </w:rPr>
        <w:t>али можливість виділити систему чинників,  які  обумовлюють  особливості   його   функціонування та сформулювати пропозиції щодо необхідності розробки методики комплексного інвестиційного аналізу акцій, які не мають котировок на фондових біржах та у торгов</w:t>
      </w:r>
      <w:r>
        <w:rPr>
          <w:lang w:val="uk-UA"/>
        </w:rPr>
        <w:t>о-інформаційних системах.</w:t>
      </w:r>
    </w:p>
    <w:p w:rsidR="00000000" w:rsidRDefault="000130BE">
      <w:pPr>
        <w:tabs>
          <w:tab w:val="left" w:pos="1080"/>
        </w:tabs>
        <w:spacing w:line="360" w:lineRule="auto"/>
        <w:ind w:firstLine="720"/>
        <w:jc w:val="both"/>
      </w:pPr>
      <w:r>
        <w:rPr>
          <w:lang w:val="uk-UA"/>
        </w:rPr>
        <w:t>Серед негативних факторів, що призвели до зосередження основної маси акцій у неорганізованому обороті та вплинули на  ефективність ринку цінних паперів Полтавського регіону визначено:</w:t>
      </w:r>
      <w:r>
        <w:t xml:space="preserve"> </w:t>
      </w:r>
    </w:p>
    <w:p w:rsidR="00000000" w:rsidRDefault="000130BE">
      <w:pPr>
        <w:pStyle w:val="2"/>
        <w:numPr>
          <w:ilvl w:val="0"/>
          <w:numId w:val="3"/>
        </w:numPr>
        <w:tabs>
          <w:tab w:val="clear" w:pos="2520"/>
          <w:tab w:val="num" w:pos="-486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кризовий фінансовий стан більшості акціонер</w:t>
      </w:r>
      <w:r>
        <w:rPr>
          <w:sz w:val="24"/>
          <w:szCs w:val="24"/>
        </w:rPr>
        <w:t xml:space="preserve">них товариств області; </w:t>
      </w:r>
    </w:p>
    <w:p w:rsidR="00000000" w:rsidRDefault="000130BE">
      <w:pPr>
        <w:pStyle w:val="2"/>
        <w:numPr>
          <w:ilvl w:val="0"/>
          <w:numId w:val="3"/>
        </w:numPr>
        <w:tabs>
          <w:tab w:val="clear" w:pos="2520"/>
          <w:tab w:val="num" w:pos="-486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недостатній рівень прозорості та відкритості результатів фінансово-господарської діяльності акціонерних товариств; </w:t>
      </w:r>
    </w:p>
    <w:p w:rsidR="00000000" w:rsidRDefault="000130BE">
      <w:pPr>
        <w:pStyle w:val="2"/>
        <w:numPr>
          <w:ilvl w:val="0"/>
          <w:numId w:val="3"/>
        </w:numPr>
        <w:tabs>
          <w:tab w:val="clear" w:pos="2520"/>
          <w:tab w:val="num" w:pos="-486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непрозорий механізм ціноутворення за угодами щодо цінних паперів внаслідок концентрації переважної більшості акц</w:t>
      </w:r>
      <w:r>
        <w:rPr>
          <w:sz w:val="24"/>
          <w:szCs w:val="24"/>
        </w:rPr>
        <w:t>ій на неорганізованому фондовому ринку, що сприяло зростанню рівня ризиків за угодами з акціями;</w:t>
      </w:r>
    </w:p>
    <w:p w:rsidR="00000000" w:rsidRDefault="000130BE">
      <w:pPr>
        <w:pStyle w:val="2"/>
        <w:numPr>
          <w:ilvl w:val="0"/>
          <w:numId w:val="3"/>
        </w:numPr>
        <w:tabs>
          <w:tab w:val="clear" w:pos="2520"/>
          <w:tab w:val="num" w:pos="-486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низька активність регіонального організованого ринку акцій внаслідок низької ліквідності даного виду цінних паперів;</w:t>
      </w:r>
    </w:p>
    <w:p w:rsidR="00000000" w:rsidRDefault="000130BE">
      <w:pPr>
        <w:pStyle w:val="2"/>
        <w:numPr>
          <w:ilvl w:val="0"/>
          <w:numId w:val="3"/>
        </w:numPr>
        <w:tabs>
          <w:tab w:val="clear" w:pos="2520"/>
          <w:tab w:val="num" w:pos="-486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стан розвитку ринкової інфраструктури.</w:t>
      </w:r>
    </w:p>
    <w:p w:rsidR="00000000" w:rsidRDefault="000130BE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Дослідивши галузеву структуру обігу акцій, виявлено, що спостерігається тенденція сегментного розвитку регіонального ринку переважно у виробничій сфері, яка охоплює 7 галузей економіки, з яких промисловість, з огляду на значну частку на ринку акцій Полтав</w:t>
      </w:r>
      <w:r>
        <w:rPr>
          <w:lang w:val="uk-UA"/>
        </w:rPr>
        <w:t>ської області, була розбита на 4 підгалузі, а саме: промисловість будівельних матеріалів, машинобудування і металооброблення (без промисловості медичної техніки), деревообробну та харчову промисловість,  а також сільське господарство, транспорт, будівництв</w:t>
      </w:r>
      <w:r>
        <w:rPr>
          <w:lang w:val="uk-UA"/>
        </w:rPr>
        <w:t xml:space="preserve">о, внутрішня торгівля, постачання і збут та заготовки. 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З метою підвищення ефективності процесу розміщення фінансового капіталу інвесторів на ринку акцій  автором пропонується проведення експрес-діагностики відносної інвестиційної привабливості відкритих а</w:t>
      </w:r>
      <w:r>
        <w:rPr>
          <w:lang w:val="uk-UA"/>
        </w:rPr>
        <w:t xml:space="preserve">кціонерних товариств на основі визначення рейтингової оцінки інвестиційної привабливості відкритих акціонерних товариств певного регіону, класифікованих за видами економічної діяльності.  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В основу запропонованого підходу покладено  „метод  відстаней”, ада</w:t>
      </w:r>
      <w:r>
        <w:rPr>
          <w:lang w:val="uk-UA"/>
        </w:rPr>
        <w:t xml:space="preserve">птований для цілей аналізу інвестиційної привабливості акцій шляхом систематизації виділених  показників фінансового стану емітента у три групи з визначенням вагомості кожної з груп залежно від типу інвестора. 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До першої групи увійшли показники, які відобр</w:t>
      </w:r>
      <w:r>
        <w:rPr>
          <w:lang w:val="uk-UA"/>
        </w:rPr>
        <w:t>ажають надійність і сталість фінансового стану акціонерного товариства: коефіцієнт автономії; коефіцієнт фінансування; коефіцієнт фінансової стійкості; коефіцієнт придатності основних засобів; коефіцієнт маневреності власного капіталу; фондовіддача; коефіц</w:t>
      </w:r>
      <w:r>
        <w:rPr>
          <w:lang w:val="uk-UA"/>
        </w:rPr>
        <w:t>ієнт загальної  ліквідності; оборотність оборотних активів. Перспективність фінансово-господарської діяльності відображає показник запасу стійкості фінансового стану – друга група показників. Третю групу утворюють такі показники доходності як:</w:t>
      </w:r>
      <w:r>
        <w:t xml:space="preserve"> </w:t>
      </w:r>
      <w:r>
        <w:rPr>
          <w:lang w:val="uk-UA"/>
        </w:rPr>
        <w:t>рентабельніс</w:t>
      </w:r>
      <w:r>
        <w:rPr>
          <w:lang w:val="uk-UA"/>
        </w:rPr>
        <w:t>ть власного капіталу; рентабельність продаж;</w:t>
      </w:r>
      <w:r>
        <w:t xml:space="preserve"> </w:t>
      </w:r>
      <w:r>
        <w:rPr>
          <w:lang w:val="uk-UA"/>
        </w:rPr>
        <w:t>прибуток на акцію;</w:t>
      </w:r>
      <w:r>
        <w:t xml:space="preserve"> </w:t>
      </w:r>
      <w:r>
        <w:rPr>
          <w:lang w:val="uk-UA"/>
        </w:rPr>
        <w:t>дивіденд на 1 акцію.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 Таким чином, рейтингову оцінку відносної інвестиційної привабливості галузей (підгалузей) економіки на основі фінансових показників відкритих акціонерних товариств Полтав</w:t>
      </w:r>
      <w:r>
        <w:rPr>
          <w:lang w:val="uk-UA"/>
        </w:rPr>
        <w:t>ської області пропонується проводити за наступними формулами :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</w:p>
    <w:p w:rsidR="00000000" w:rsidRDefault="000130BE">
      <w:pPr>
        <w:numPr>
          <w:ilvl w:val="0"/>
          <w:numId w:val="5"/>
        </w:numPr>
        <w:tabs>
          <w:tab w:val="clear" w:pos="2520"/>
          <w:tab w:val="num" w:pos="1134"/>
        </w:tabs>
        <w:spacing w:line="360" w:lineRule="auto"/>
        <w:ind w:hanging="1811"/>
        <w:jc w:val="both"/>
        <w:rPr>
          <w:lang w:val="uk-UA"/>
        </w:rPr>
      </w:pPr>
      <w:r>
        <w:rPr>
          <w:lang w:val="uk-UA"/>
        </w:rPr>
        <w:t>для стратегічних інвесторів</w:t>
      </w:r>
    </w:p>
    <w:p w:rsidR="00000000" w:rsidRDefault="000130BE">
      <w:pPr>
        <w:spacing w:line="360" w:lineRule="auto"/>
        <w:jc w:val="both"/>
        <w:rPr>
          <w:lang w:val="uk-UA"/>
        </w:rPr>
      </w:pPr>
    </w:p>
    <w:p w:rsidR="00000000" w:rsidRDefault="000130BE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                             R </w:t>
      </w:r>
      <w:r>
        <w:t>=</w:t>
      </w:r>
      <w:r>
        <w:rPr>
          <w:b/>
          <w:bCs/>
          <w:lang w:val="uk-UA"/>
        </w:rPr>
        <w:t xml:space="preserve">0,48 </w:t>
      </w:r>
      <w:r>
        <w:rPr>
          <w:b/>
          <w:bCs/>
          <w:lang w:val="en-US"/>
        </w:rPr>
        <w:t>R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uk-UA"/>
        </w:rPr>
        <w:t>+ 0,35</w:t>
      </w:r>
      <w:r>
        <w:rPr>
          <w:b/>
          <w:bCs/>
          <w:vertAlign w:val="subscript"/>
          <w:lang w:val="uk-UA"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uk-UA"/>
        </w:rPr>
        <w:t xml:space="preserve"> +0,17</w:t>
      </w:r>
      <w:r>
        <w:rPr>
          <w:b/>
          <w:bCs/>
          <w:lang w:val="en-US"/>
        </w:rPr>
        <w:t>R</w:t>
      </w:r>
      <w:r>
        <w:rPr>
          <w:b/>
          <w:bCs/>
          <w:vertAlign w:val="subscript"/>
          <w:lang w:val="en-US"/>
        </w:rPr>
        <w:t>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  </w:t>
      </w:r>
    </w:p>
    <w:p w:rsidR="00000000" w:rsidRDefault="000130BE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                  </w:t>
      </w:r>
    </w:p>
    <w:p w:rsidR="00000000" w:rsidRDefault="000130BE">
      <w:pPr>
        <w:numPr>
          <w:ilvl w:val="0"/>
          <w:numId w:val="5"/>
        </w:numPr>
        <w:tabs>
          <w:tab w:val="clear" w:pos="2520"/>
          <w:tab w:val="num" w:pos="-2268"/>
        </w:tabs>
        <w:spacing w:line="360" w:lineRule="auto"/>
        <w:ind w:left="1134" w:hanging="425"/>
        <w:jc w:val="both"/>
        <w:rPr>
          <w:lang w:val="uk-UA"/>
        </w:rPr>
      </w:pPr>
      <w:r>
        <w:rPr>
          <w:lang w:val="uk-UA"/>
        </w:rPr>
        <w:t>для портфельних інвесторів</w:t>
      </w:r>
    </w:p>
    <w:p w:rsidR="00000000" w:rsidRDefault="000130BE">
      <w:pPr>
        <w:spacing w:line="360" w:lineRule="auto"/>
        <w:ind w:left="709"/>
        <w:jc w:val="both"/>
        <w:rPr>
          <w:lang w:val="uk-UA"/>
        </w:rPr>
      </w:pPr>
    </w:p>
    <w:p w:rsidR="00000000" w:rsidRDefault="000130BE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 </w:t>
      </w:r>
      <w:r>
        <w:t>=</w:t>
      </w:r>
      <w:r>
        <w:rPr>
          <w:b/>
          <w:bCs/>
        </w:rPr>
        <w:t>0</w:t>
      </w:r>
      <w:r>
        <w:rPr>
          <w:b/>
          <w:bCs/>
          <w:lang w:val="uk-UA"/>
        </w:rPr>
        <w:t>,</w:t>
      </w:r>
      <w:r>
        <w:rPr>
          <w:b/>
          <w:bCs/>
        </w:rPr>
        <w:t>19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  <w:vertAlign w:val="subscript"/>
        </w:rPr>
        <w:t>1</w:t>
      </w:r>
      <w:r>
        <w:rPr>
          <w:b/>
          <w:bCs/>
          <w:lang w:val="uk-UA"/>
        </w:rPr>
        <w:t xml:space="preserve">+ </w:t>
      </w:r>
      <w:r>
        <w:rPr>
          <w:b/>
          <w:bCs/>
        </w:rPr>
        <w:t>0</w:t>
      </w:r>
      <w:r>
        <w:rPr>
          <w:b/>
          <w:bCs/>
          <w:lang w:val="uk-UA"/>
        </w:rPr>
        <w:t>,</w:t>
      </w:r>
      <w:r>
        <w:rPr>
          <w:b/>
          <w:bCs/>
        </w:rPr>
        <w:t>3</w:t>
      </w:r>
      <w:r>
        <w:rPr>
          <w:b/>
          <w:bCs/>
          <w:lang w:val="en-US"/>
        </w:rPr>
        <w:t>2</w:t>
      </w:r>
      <w:r>
        <w:rPr>
          <w:b/>
          <w:bCs/>
          <w:vertAlign w:val="subscript"/>
          <w:lang w:val="uk-UA"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  <w:vertAlign w:val="subscript"/>
        </w:rPr>
        <w:t>2</w:t>
      </w:r>
      <w:r>
        <w:rPr>
          <w:b/>
          <w:bCs/>
          <w:lang w:val="uk-UA"/>
        </w:rPr>
        <w:t xml:space="preserve"> +</w:t>
      </w:r>
      <w:r>
        <w:rPr>
          <w:b/>
          <w:bCs/>
        </w:rPr>
        <w:t>0</w:t>
      </w:r>
      <w:r>
        <w:rPr>
          <w:b/>
          <w:bCs/>
          <w:lang w:val="uk-UA"/>
        </w:rPr>
        <w:t>,</w:t>
      </w:r>
      <w:r>
        <w:rPr>
          <w:b/>
          <w:bCs/>
        </w:rPr>
        <w:t>49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  <w:vertAlign w:val="subscript"/>
        </w:rPr>
        <w:t>3</w:t>
      </w:r>
      <w:r>
        <w:rPr>
          <w:b/>
          <w:bCs/>
          <w:lang w:val="uk-UA"/>
        </w:rPr>
        <w:t>,</w:t>
      </w:r>
      <w:r>
        <w:rPr>
          <w:b/>
          <w:bCs/>
        </w:rPr>
        <w:t xml:space="preserve">    </w:t>
      </w:r>
    </w:p>
    <w:p w:rsidR="00000000" w:rsidRDefault="000130BE">
      <w:pPr>
        <w:spacing w:line="360" w:lineRule="auto"/>
        <w:jc w:val="both"/>
        <w:rPr>
          <w:lang w:val="uk-UA"/>
        </w:rPr>
      </w:pPr>
      <w:r>
        <w:rPr>
          <w:b/>
          <w:bCs/>
        </w:rPr>
        <w:t xml:space="preserve">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 xml:space="preserve">      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  де </w:t>
      </w:r>
      <w:r>
        <w:rPr>
          <w:lang w:val="en-US"/>
        </w:rPr>
        <w:t>R</w:t>
      </w:r>
      <w:r>
        <w:rPr>
          <w:lang w:val="uk-UA"/>
        </w:rPr>
        <w:t xml:space="preserve"> - загальна рейтингова оцінка відносної інвестиційної привабливості галузі (підгалузі) економіки;</w:t>
      </w:r>
    </w:p>
    <w:p w:rsidR="00000000" w:rsidRDefault="000130BE">
      <w:pPr>
        <w:spacing w:line="360" w:lineRule="auto"/>
        <w:ind w:firstLine="1276"/>
        <w:jc w:val="both"/>
        <w:rPr>
          <w:lang w:val="uk-UA"/>
        </w:rPr>
      </w:pPr>
      <w:r>
        <w:rPr>
          <w:lang w:val="en-US"/>
        </w:rPr>
        <w:t>R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- рейтингова оцінка відносної інвестиційної п</w:t>
      </w:r>
      <w:r>
        <w:rPr>
          <w:lang w:val="uk-UA"/>
        </w:rPr>
        <w:t xml:space="preserve">ривабливості галузі (підгалузі) економіки з позицій надійності фінансового стану відкритих акціонерних товариств певної галузі (підгалузі) економіки; </w:t>
      </w:r>
    </w:p>
    <w:p w:rsidR="00000000" w:rsidRDefault="000130BE">
      <w:pPr>
        <w:spacing w:line="360" w:lineRule="auto"/>
        <w:ind w:firstLine="1276"/>
        <w:jc w:val="both"/>
        <w:rPr>
          <w:lang w:val="uk-UA"/>
        </w:rPr>
      </w:pPr>
      <w:r>
        <w:rPr>
          <w:lang w:val="en-US"/>
        </w:rPr>
        <w:t>R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- рейтингова оцінка відносної інвестиційної привабливості галузі (підгалузі) економіки з позицій персп</w:t>
      </w:r>
      <w:r>
        <w:rPr>
          <w:lang w:val="uk-UA"/>
        </w:rPr>
        <w:t xml:space="preserve">ектив господарської діяльності відкритих акціонерних товариств певної галузі (підгалузі) економіки; </w:t>
      </w:r>
    </w:p>
    <w:p w:rsidR="00000000" w:rsidRDefault="000130BE">
      <w:pPr>
        <w:spacing w:line="360" w:lineRule="auto"/>
        <w:ind w:firstLine="1276"/>
        <w:jc w:val="both"/>
        <w:rPr>
          <w:lang w:val="uk-UA"/>
        </w:rPr>
      </w:pPr>
      <w:r>
        <w:rPr>
          <w:lang w:val="uk-UA"/>
        </w:rPr>
        <w:t>R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- рейтингова оцінка відносної інвестиційної привабливості галузі (підгалузі) економіки з позицій доходності відкритих акціонерних товариств певної галуз</w:t>
      </w:r>
      <w:r>
        <w:rPr>
          <w:lang w:val="uk-UA"/>
        </w:rPr>
        <w:t>і (підгалузі) економіки.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Кількісне значення показників вагомості виділених груп параметрів інвестиційної привабливості отримане дисертантом шляхом експертного опитування. </w:t>
      </w:r>
    </w:p>
    <w:p w:rsidR="00000000" w:rsidRDefault="000130BE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На прикладі відкритих акціонерних товариств Полтавської області в роботі було  здійс</w:t>
      </w:r>
      <w:r>
        <w:rPr>
          <w:lang w:val="uk-UA"/>
        </w:rPr>
        <w:t xml:space="preserve">нено  комплексну  оцінку інвестиційної привабливості випущених ними акцій. Як інформаційна база у роботі  використовувалися дані фінансової звітності 330 відкритих акціонерних товариств Полтавської області. </w:t>
      </w:r>
    </w:p>
    <w:p w:rsidR="00000000" w:rsidRDefault="000130BE">
      <w:pPr>
        <w:pStyle w:val="2"/>
        <w:tabs>
          <w:tab w:val="left" w:pos="1080"/>
        </w:tabs>
        <w:ind w:firstLine="697"/>
        <w:rPr>
          <w:sz w:val="24"/>
          <w:szCs w:val="24"/>
        </w:rPr>
      </w:pPr>
      <w:r>
        <w:rPr>
          <w:sz w:val="24"/>
          <w:szCs w:val="24"/>
        </w:rPr>
        <w:t>Проведені розрахунки дали можливість оцінити гал</w:t>
      </w:r>
      <w:r>
        <w:rPr>
          <w:sz w:val="24"/>
          <w:szCs w:val="24"/>
        </w:rPr>
        <w:t>узеву структуру ринку акцій Полтавської області та визначити  пріоритетні галузі для фінансового інвестування в регіоні, а також побудувати рейтинг відносної інвестиційної привабливості  відкритих акціонерних товариств сфери машинобудування і металообробле</w:t>
      </w:r>
      <w:r>
        <w:rPr>
          <w:sz w:val="24"/>
          <w:szCs w:val="24"/>
        </w:rPr>
        <w:t xml:space="preserve">ння (без промисловості медичної техніки), рівень інвестиційної привабливості якої в аналізованому періоді був визначений найвищим у Полтавському регіоні. </w:t>
      </w:r>
    </w:p>
    <w:p w:rsidR="00000000" w:rsidRDefault="000130BE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Достовірність отриманих результатів перевірена за допомогою автоматичної  класифікації на основі клас</w:t>
      </w:r>
      <w:r>
        <w:rPr>
          <w:lang w:val="uk-UA"/>
        </w:rPr>
        <w:t xml:space="preserve">терного аналізу. Це дозволило стверджувати, що побудований рейтинг як основа для прийняття рішення щодо інвестування в акції  емітента певної галузі (підгалузі)  адекватно відображає реальну ситуацію, яка склалася на регіональному ринку акцій. </w:t>
      </w:r>
    </w:p>
    <w:p w:rsidR="00000000" w:rsidRDefault="000130BE">
      <w:pPr>
        <w:pStyle w:val="BodyText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Важливим на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прямом удосконалення процесу оцінки акцій є застосування методики оцінки абсолютної  інвестиційної привабливості акцій, адже при здійсненні угод з акціями стратегічні і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портфельні інвестори схильні спиратися на власне уявлення про співвідношення важливості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виділених факторів. </w:t>
      </w:r>
    </w:p>
    <w:p w:rsidR="00000000" w:rsidRDefault="000130BE">
      <w:pPr>
        <w:pStyle w:val="BodyText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У зв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‘язку з цим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остаточне рішення про реалізацію інвестиційних намірів щодо акцій певного акціонерного товариства запропоновано приймати на основі системи неформалізованих критеріїв (табл.1).</w:t>
      </w:r>
    </w:p>
    <w:p w:rsidR="00000000" w:rsidRDefault="000130BE">
      <w:pPr>
        <w:pStyle w:val="BodyText1"/>
        <w:spacing w:line="360" w:lineRule="auto"/>
        <w:ind w:firstLine="720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Таблиця 1</w:t>
      </w:r>
    </w:p>
    <w:p w:rsidR="00000000" w:rsidRDefault="000130BE">
      <w:pPr>
        <w:pStyle w:val="BodyText1"/>
        <w:spacing w:line="360" w:lineRule="auto"/>
        <w:ind w:firstLine="72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Неформалізовані критерії абсолют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ної інвестиційної привабливості акцій відкритих акціонерних товариств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6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48" w:type="dxa"/>
          </w:tcPr>
          <w:p w:rsidR="00000000" w:rsidRDefault="000130BE">
            <w:pPr>
              <w:pStyle w:val="BodyText1"/>
              <w:spacing w:line="36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Критерії</w:t>
            </w:r>
          </w:p>
        </w:tc>
        <w:tc>
          <w:tcPr>
            <w:tcW w:w="6660" w:type="dxa"/>
          </w:tcPr>
          <w:p w:rsidR="00000000" w:rsidRDefault="000130BE">
            <w:pPr>
              <w:pStyle w:val="BodyText1"/>
              <w:spacing w:line="36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Шкала оцінок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0130BE">
            <w:pPr>
              <w:pStyle w:val="BodyText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1. Ефективність інвестування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 xml:space="preserve"> в акц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ії</w:t>
            </w:r>
          </w:p>
        </w:tc>
        <w:tc>
          <w:tcPr>
            <w:tcW w:w="6660" w:type="dxa"/>
          </w:tcPr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 бали: співвідношення ринкової вартості акції та прибутку на акцію  за аналізований період має тенденцію до зниження;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1 бал: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співвідношення ринкової вартості акції та прибутку на акцію залишається стабільним протягом аналізованого періоду;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0 балів: співвідношення ринкової вартості акції та прибутку на акцію за аналізований період має тенденцію до підвищення.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2.Ступінь задоволен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ня прихованих переваг відповідно до очікувань інвесторів</w:t>
            </w:r>
          </w:p>
        </w:tc>
        <w:tc>
          <w:tcPr>
            <w:tcW w:w="6660" w:type="dxa"/>
          </w:tcPr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 бали: задоволені в повному обсязі;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1 бал: задоволені частково;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0 балів:  приховані переваги відсутні.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3. Ступінь надійності і достовірності публічної фінансової звітності акціонерного товариства</w:t>
            </w:r>
          </w:p>
        </w:tc>
        <w:tc>
          <w:tcPr>
            <w:tcW w:w="6660" w:type="dxa"/>
          </w:tcPr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бали: висока достовірність фінансової звітності внаслідок відсутності індикаторів перекручення фінансової звітності підприємства;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1бал: низька достовірність фінансової звітності внаслідок наявності індикаторів перекручення фінансової звітності підприємств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0 балів: спостерігаються численні  порушення щодо відображення інформації у  фінансовій звітності акціонерного товариства.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4. Якість корпоративного управління в акціонерному товаристві</w:t>
            </w:r>
          </w:p>
        </w:tc>
        <w:tc>
          <w:tcPr>
            <w:tcW w:w="6660" w:type="dxa"/>
          </w:tcPr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 бали: високий рівень корпоративного управління;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1бал: недостатній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рівень корпоративного управління;</w:t>
            </w:r>
          </w:p>
          <w:p w:rsidR="00000000" w:rsidRDefault="000130BE">
            <w:pPr>
              <w:pStyle w:val="BodyText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0 балів: низький рівень корпоративного управління.</w:t>
            </w:r>
          </w:p>
        </w:tc>
      </w:tr>
    </w:tbl>
    <w:p w:rsidR="00000000" w:rsidRDefault="000130BE">
      <w:pPr>
        <w:pStyle w:val="BodyText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000000" w:rsidRDefault="000130BE">
      <w:pPr>
        <w:pStyle w:val="BodyText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Значення загальної кількості балів дає підстави віднести аналізоване акціонерне товариство до певної групи. </w:t>
      </w:r>
    </w:p>
    <w:p w:rsidR="00000000" w:rsidRDefault="000130BE">
      <w:pPr>
        <w:pStyle w:val="BodyText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Таким чином, запропоновані методичні підходи до оцінки абсо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лютної інвестиційної привабливості акцій відкритих акціонерних товариств дозволять підвищити обґрунтованість і виваженість інвестиційних дій стратегічних і портфельних інвесторів щодо розміщення ними фінансових ресурсів на ринку акцій Полтавської області.</w:t>
      </w:r>
    </w:p>
    <w:p w:rsidR="00000000" w:rsidRDefault="000130BE">
      <w:pPr>
        <w:spacing w:line="360" w:lineRule="auto"/>
        <w:jc w:val="both"/>
        <w:rPr>
          <w:b/>
          <w:bCs/>
          <w:lang w:val="uk-UA"/>
        </w:rPr>
      </w:pP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ВИСНОВКИ</w:t>
      </w:r>
    </w:p>
    <w:p w:rsidR="00000000" w:rsidRDefault="000130BE">
      <w:pPr>
        <w:pStyle w:val="a6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 дисертації наведене теоретичне узагальнення і наукове вирішення  проблеми вдосконалення теоретико-методологічних засад та інструментарію оцінки інвестиційної привабливості акцій відкритих акціонерних товариств. Це дозволило розробити методичні </w:t>
      </w:r>
      <w:r>
        <w:rPr>
          <w:b w:val="0"/>
          <w:bCs w:val="0"/>
          <w:sz w:val="24"/>
          <w:szCs w:val="24"/>
        </w:rPr>
        <w:t>основи експрес-діагностики відносної інвестиційної привабливості галузей (підгалузей) економіки, а також методичні підходи до оцінки абсолютної інвестиційної привабливості акцій певного відкритого акціонерного товариства як інструмента підвищення ефективно</w:t>
      </w:r>
      <w:r>
        <w:rPr>
          <w:b w:val="0"/>
          <w:bCs w:val="0"/>
          <w:sz w:val="24"/>
          <w:szCs w:val="24"/>
        </w:rPr>
        <w:t xml:space="preserve">сті процесу розміщення фінансових ресурсів інвесторів на ринку акцій. </w:t>
      </w:r>
    </w:p>
    <w:p w:rsidR="00000000" w:rsidRDefault="000130BE">
      <w:pPr>
        <w:pStyle w:val="a6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Здійснене дисертаційне дослідження дає змогу дійти таких загальних висновків і обґрунтувати такі пропозиції:</w:t>
      </w:r>
    </w:p>
    <w:p w:rsidR="00000000" w:rsidRDefault="000130BE">
      <w:pPr>
        <w:pStyle w:val="2"/>
        <w:numPr>
          <w:ilvl w:val="0"/>
          <w:numId w:val="2"/>
        </w:numPr>
        <w:tabs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На основі ретельного аналізу структури зареєстрованих випусків цінних пап</w:t>
      </w:r>
      <w:r>
        <w:rPr>
          <w:sz w:val="24"/>
          <w:szCs w:val="24"/>
        </w:rPr>
        <w:t>ерів та динаміки  обсягів торгівлі  на організованому та неорганізованому ринках цінних паперів в Україні, а також  інвестиційних якостей, притаманних  фінансовим інструментам фондового ринку України було визначено домінантне положення акцій.</w:t>
      </w:r>
    </w:p>
    <w:p w:rsidR="00000000" w:rsidRDefault="000130BE">
      <w:pPr>
        <w:pStyle w:val="2"/>
        <w:numPr>
          <w:ilvl w:val="0"/>
          <w:numId w:val="2"/>
        </w:numPr>
        <w:tabs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У процесі </w:t>
      </w:r>
      <w:r>
        <w:rPr>
          <w:sz w:val="24"/>
          <w:szCs w:val="24"/>
        </w:rPr>
        <w:t xml:space="preserve">проведеного аналізу переваг і недоліків  акціонерної форми господарювання порівняно з іншими формами організації господарських товариств було доведено пріоритетність акціонерних відносин у системі відносин власності суспільства. </w:t>
      </w:r>
    </w:p>
    <w:p w:rsidR="00000000" w:rsidRDefault="000130BE">
      <w:pPr>
        <w:pStyle w:val="2"/>
        <w:numPr>
          <w:ilvl w:val="0"/>
          <w:numId w:val="2"/>
        </w:numPr>
        <w:tabs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Розгляд і систематизаці</w:t>
      </w:r>
      <w:r>
        <w:rPr>
          <w:sz w:val="24"/>
          <w:szCs w:val="24"/>
        </w:rPr>
        <w:t xml:space="preserve">я факторів, які  безпосередньо або опосередковано пов’язані із діяльністю відкритого акціонерного товариства і впливають на  інвестиційну привабливість  випущених ним акцій,  дозволили уточнити сутність поняття „інвестиційна привабливість акцій”. В основу </w:t>
      </w:r>
      <w:r>
        <w:rPr>
          <w:sz w:val="24"/>
          <w:szCs w:val="24"/>
        </w:rPr>
        <w:t xml:space="preserve">запропонованого підходу до теоретичного тлумачення даної категорії   покладено мотивацію інвестиційних дій інвестора, відповідно до чого запропоновано  розмежувати поняття „інвестиційна привабливість акцій”  для стратегічних і портфельних інвесторів.   </w:t>
      </w:r>
    </w:p>
    <w:p w:rsidR="00000000" w:rsidRDefault="000130BE">
      <w:pPr>
        <w:pStyle w:val="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Дослідження різних підходів до оцінки інвестиційної привабливості інструментів фондового ринку, зокрема теорії ефективного ринку, фундаментального і  технічного аналізу та можливості їх адаптації для цілей оцінки фінансових інструментів сучасного фондовог</w:t>
      </w:r>
      <w:r>
        <w:rPr>
          <w:sz w:val="24"/>
          <w:szCs w:val="24"/>
        </w:rPr>
        <w:t>о ринку України  дозволили виділити пріоритетність методів фундаментального аналізу, логіка якого була покладена в основу запропонованих автором методичних підходів до оцінки інвестиційної привабливості акцій.</w:t>
      </w:r>
    </w:p>
    <w:p w:rsidR="00000000" w:rsidRDefault="000130BE">
      <w:pPr>
        <w:tabs>
          <w:tab w:val="left" w:pos="-5220"/>
        </w:tabs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lastRenderedPageBreak/>
        <w:t>5. На основі співставлення динаміки  обсягу ук</w:t>
      </w:r>
      <w:r>
        <w:rPr>
          <w:lang w:val="uk-UA"/>
        </w:rPr>
        <w:t>ладених та виконаних угод з акціями на організованому фондовому України з основними макроекономічними показниками було встановлено відсутність прямої залежності між станом економіки країни та активністю її внутрішнього ринку акцій.  Внаслідок цього обґрунт</w:t>
      </w:r>
      <w:r>
        <w:rPr>
          <w:lang w:val="uk-UA"/>
        </w:rPr>
        <w:t>ована необхідність адаптації методів   фундаментального аналізу до умов вітчизняної економіки.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6.  З метою підвищення ефективності процесу розміщення фінансових ресурсів інвесторів на ринку акцій на основі диференційованого підходу до структури  інвестицій</w:t>
      </w:r>
      <w:r>
        <w:rPr>
          <w:lang w:val="uk-UA"/>
        </w:rPr>
        <w:t xml:space="preserve">ного аналізу корпоративних цінних паперів для вітчизняних і зарубіжних інвесторів запропоновано алгоритм комплексного дослідження інвестиційної привабливості акцій відкритих акціонерних товариств з введенням у науковий обіг понять абсолютної та відносної  </w:t>
      </w:r>
      <w:r>
        <w:rPr>
          <w:lang w:val="uk-UA"/>
        </w:rPr>
        <w:t>інвестиційної привабливості акцій на виділених етапах  дослідження.</w:t>
      </w:r>
    </w:p>
    <w:p w:rsidR="00000000" w:rsidRDefault="000130BE">
      <w:pPr>
        <w:pStyle w:val="21"/>
        <w:spacing w:line="360" w:lineRule="auto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На основі аналізу інвестиційних процесів, що відбулися протягом 1999-2003 рр. на ринку акцій Полтавської області в роботі запропоновані заходи регіональної політики щодо регулювання фон</w:t>
      </w:r>
      <w:r>
        <w:rPr>
          <w:sz w:val="24"/>
          <w:szCs w:val="24"/>
          <w:lang w:val="uk-UA"/>
        </w:rPr>
        <w:t>дового ринку, реалізація яких сприятиме динамічному розвитку ринку акцій Полтавської області та спричинить зростання рівня інвестиційної привабливості акцій відкритих акціонерних товариств регіону, зокрема:</w:t>
      </w:r>
    </w:p>
    <w:p w:rsidR="00000000" w:rsidRDefault="000130BE">
      <w:pPr>
        <w:pStyle w:val="21"/>
        <w:numPr>
          <w:ilvl w:val="0"/>
          <w:numId w:val="6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впровадження в практику діяльності акціонерних</w:t>
      </w:r>
      <w:r>
        <w:rPr>
          <w:sz w:val="24"/>
          <w:szCs w:val="24"/>
          <w:lang w:val="uk-UA"/>
        </w:rPr>
        <w:t xml:space="preserve"> товариств області затверджених ДКЦПФР “Принципів корпоративного управління”;</w:t>
      </w:r>
    </w:p>
    <w:p w:rsidR="00000000" w:rsidRDefault="000130BE">
      <w:pPr>
        <w:pStyle w:val="21"/>
        <w:numPr>
          <w:ilvl w:val="0"/>
          <w:numId w:val="6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забезпечення прозорості та відкритості діяльності акціонерних товариств шляхом контролю за процесом розкриття інформації про їх діяльність;</w:t>
      </w:r>
    </w:p>
    <w:p w:rsidR="00000000" w:rsidRDefault="000130BE">
      <w:pPr>
        <w:pStyle w:val="21"/>
        <w:numPr>
          <w:ilvl w:val="0"/>
          <w:numId w:val="6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встановлення ефективних механізм</w:t>
      </w:r>
      <w:r>
        <w:rPr>
          <w:sz w:val="24"/>
          <w:szCs w:val="24"/>
          <w:lang w:val="uk-UA"/>
        </w:rPr>
        <w:t xml:space="preserve">ів захисту прав  та  інтересів інвесторів; </w:t>
      </w:r>
    </w:p>
    <w:p w:rsidR="00000000" w:rsidRDefault="000130BE">
      <w:pPr>
        <w:pStyle w:val="21"/>
        <w:numPr>
          <w:ilvl w:val="0"/>
          <w:numId w:val="6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створення системи контролю за діяльністю професійних учасників ринку цінних паперів регіону;</w:t>
      </w:r>
    </w:p>
    <w:p w:rsidR="00000000" w:rsidRDefault="000130BE">
      <w:pPr>
        <w:pStyle w:val="21"/>
        <w:numPr>
          <w:ilvl w:val="0"/>
          <w:numId w:val="6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створення незалежних інформаційних та рейтингових агенцій, які</w:t>
      </w:r>
      <w:r>
        <w:rPr>
          <w:sz w:val="24"/>
          <w:szCs w:val="24"/>
          <w:lang w:val="uk-UA"/>
        </w:rPr>
        <w:br/>
        <w:t>надають послуги щодо економічного обґрунтування на</w:t>
      </w:r>
      <w:r>
        <w:rPr>
          <w:sz w:val="24"/>
          <w:szCs w:val="24"/>
          <w:lang w:val="uk-UA"/>
        </w:rPr>
        <w:t>прямків розміщення фінансового капіталу інвесторів  на ринку акцій;</w:t>
      </w:r>
    </w:p>
    <w:p w:rsidR="00000000" w:rsidRDefault="000130BE">
      <w:pPr>
        <w:pStyle w:val="21"/>
        <w:numPr>
          <w:ilvl w:val="0"/>
          <w:numId w:val="6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розробка  і впровадження методики оцінки  інвестиційної привабливості акцій відкритих акціонерних товариств регіону, адаптованої до специфічних умов функціонування ринку акцій Полтавськ</w:t>
      </w:r>
      <w:r>
        <w:rPr>
          <w:sz w:val="24"/>
          <w:szCs w:val="24"/>
          <w:lang w:val="uk-UA"/>
        </w:rPr>
        <w:t xml:space="preserve">ої області. </w:t>
      </w:r>
    </w:p>
    <w:p w:rsidR="00000000" w:rsidRDefault="000130BE">
      <w:pPr>
        <w:pStyle w:val="2"/>
        <w:tabs>
          <w:tab w:val="left" w:pos="126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8.   У рамках запропонованого алгоритму інвестиційного аналізу акцій розроблено методичні основи експрес-діагностики відносної інвестиційної привабливості галузей (підгалузей) економіки з позицій фінансового інвестування стратегічних і портфел</w:t>
      </w:r>
      <w:r>
        <w:rPr>
          <w:sz w:val="24"/>
          <w:szCs w:val="24"/>
        </w:rPr>
        <w:t xml:space="preserve">ьних інвесторів. </w:t>
      </w:r>
    </w:p>
    <w:p w:rsidR="00000000" w:rsidRDefault="000130BE">
      <w:pPr>
        <w:pStyle w:val="2"/>
        <w:tabs>
          <w:tab w:val="left" w:pos="1260"/>
        </w:tabs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9. Практичну реалізацію запропонована методика знайшла у побудованих рейтингах інвестиційної привабливості галузей (підгалузей) економіки Полтавської області та  інвестиційної привабливості акцій відкритих акціонерних товариств сфери маши</w:t>
      </w:r>
      <w:r>
        <w:rPr>
          <w:sz w:val="24"/>
          <w:szCs w:val="24"/>
        </w:rPr>
        <w:t xml:space="preserve">нобудування і металооброблення </w:t>
      </w:r>
      <w:r>
        <w:rPr>
          <w:sz w:val="24"/>
          <w:szCs w:val="24"/>
        </w:rPr>
        <w:lastRenderedPageBreak/>
        <w:t>(без промисловості медичної техніки), рівень відносної інвестиційної привабливості якої був визначений найвищим у Полтавському регіоні.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10. Аналіз факторів інвестиційної привабливості акцій, які в залежності від мотиваційного</w:t>
      </w:r>
      <w:r>
        <w:rPr>
          <w:lang w:val="uk-UA"/>
        </w:rPr>
        <w:t xml:space="preserve"> механізму інвестора та специфіки конкретної оціночної ситуації мають різну силу впливу,  викрив  неможливість отримання кількісно обґрунтованої оцінки ступеня задоволення інвестиційних вимог інвестора.  У зв’язку з цим розроблено методичні підходи до оцін</w:t>
      </w:r>
      <w:r>
        <w:rPr>
          <w:lang w:val="uk-UA"/>
        </w:rPr>
        <w:t xml:space="preserve">ки абсолютної інвестиційної привабливості акцій, побудованої на основі системи неформалізованих критеріїв якості емітента, зокрема ступеня надійності і достовірності публічної фінансової звітності акціонерного товариства; якості корпоративного управління; </w:t>
      </w:r>
      <w:r>
        <w:rPr>
          <w:lang w:val="uk-UA"/>
        </w:rPr>
        <w:t xml:space="preserve">ефективності інвестування в акції; ступеня задоволення прихованих переваг відповідно до очікувань інвесторів. </w:t>
      </w: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СПИСОК ОПУБЛІКОВАНИХ ПРАЦЬ ЗА ТЕМОЮ</w:t>
      </w: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ДИСЕРТАЦІЇ</w:t>
      </w:r>
    </w:p>
    <w:p w:rsidR="00000000" w:rsidRDefault="000130BE">
      <w:pPr>
        <w:spacing w:line="360" w:lineRule="auto"/>
        <w:ind w:firstLine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Статті у фахових виданнях:</w:t>
      </w:r>
    </w:p>
    <w:p w:rsidR="00000000" w:rsidRDefault="000130BE">
      <w:pPr>
        <w:numPr>
          <w:ilvl w:val="0"/>
          <w:numId w:val="11"/>
        </w:numPr>
        <w:spacing w:line="360" w:lineRule="auto"/>
        <w:ind w:hanging="720"/>
        <w:jc w:val="both"/>
        <w:rPr>
          <w:lang w:val="uk-UA"/>
        </w:rPr>
      </w:pPr>
      <w:r>
        <w:rPr>
          <w:lang w:val="uk-UA"/>
        </w:rPr>
        <w:t>Давидов О.І., Яріш О.В. Інвестиційна привабливість цінних паперів в</w:t>
      </w:r>
      <w:r>
        <w:rPr>
          <w:lang w:val="uk-UA"/>
        </w:rPr>
        <w:t xml:space="preserve"> Україні //  Фінанси України. – 2001. -№ 2. – С. 130-140. -0,7 д.а.</w:t>
      </w:r>
    </w:p>
    <w:p w:rsidR="00000000" w:rsidRDefault="000130BE">
      <w:pPr>
        <w:numPr>
          <w:ilvl w:val="0"/>
          <w:numId w:val="11"/>
        </w:numPr>
        <w:spacing w:line="360" w:lineRule="auto"/>
        <w:ind w:hanging="720"/>
        <w:jc w:val="both"/>
        <w:rPr>
          <w:lang w:val="uk-UA"/>
        </w:rPr>
      </w:pPr>
      <w:r>
        <w:rPr>
          <w:lang w:val="uk-UA"/>
        </w:rPr>
        <w:t>Яріш О.В. Методика вибору цінних паперів як об’єктів інвестицій // Вісник Харківського національного університету ім. В.Н. Каразіна. - 2001. -№ 5. – С.261-264.- 0,4 д.а.</w:t>
      </w:r>
    </w:p>
    <w:p w:rsidR="00000000" w:rsidRDefault="000130BE">
      <w:pPr>
        <w:numPr>
          <w:ilvl w:val="0"/>
          <w:numId w:val="11"/>
        </w:numPr>
        <w:spacing w:line="360" w:lineRule="auto"/>
        <w:ind w:hanging="720"/>
        <w:jc w:val="both"/>
        <w:rPr>
          <w:lang w:val="uk-UA"/>
        </w:rPr>
      </w:pPr>
      <w:r>
        <w:rPr>
          <w:lang w:val="uk-UA"/>
        </w:rPr>
        <w:t>Яріш О.В. Пр</w:t>
      </w:r>
      <w:r>
        <w:rPr>
          <w:lang w:val="uk-UA"/>
        </w:rPr>
        <w:t>облеми використання фундаментального аналізу для оцінки інвестиційної привабливості цінних паперів //Економіка: проблеми теорії та практики. Збірник наукових праць. Випуск 164. – Дніпропетровськ: ДНУ, 2002. -С.44-53. – 0,4 д.а.</w:t>
      </w:r>
    </w:p>
    <w:p w:rsidR="00000000" w:rsidRDefault="000130BE">
      <w:pPr>
        <w:numPr>
          <w:ilvl w:val="0"/>
          <w:numId w:val="11"/>
        </w:numPr>
        <w:spacing w:line="360" w:lineRule="auto"/>
        <w:ind w:hanging="720"/>
        <w:jc w:val="both"/>
        <w:rPr>
          <w:b/>
          <w:bCs/>
          <w:spacing w:val="-6"/>
          <w:lang w:val="uk-UA"/>
        </w:rPr>
      </w:pPr>
      <w:r>
        <w:rPr>
          <w:lang w:val="uk-UA"/>
        </w:rPr>
        <w:t>Яріш О.В. Особливості кор</w:t>
      </w:r>
      <w:r>
        <w:rPr>
          <w:lang w:val="uk-UA"/>
        </w:rPr>
        <w:t xml:space="preserve">поративної форми господарювання в сучасних умовах соці-ально-економічного розвитку України // Економіка: проблеми теорії та практики. Збірник наукових праць. </w:t>
      </w:r>
      <w:r>
        <w:rPr>
          <w:spacing w:val="-6"/>
          <w:lang w:val="uk-UA"/>
        </w:rPr>
        <w:t>Випуск 192: В 4 т. Т.ІІ– Дніпропетровськ: ДНУ, 2004.- С. 413-421.- 0,4 д.а.</w:t>
      </w:r>
    </w:p>
    <w:p w:rsidR="00000000" w:rsidRDefault="000130BE">
      <w:pPr>
        <w:numPr>
          <w:ilvl w:val="0"/>
          <w:numId w:val="11"/>
        </w:numPr>
        <w:spacing w:line="360" w:lineRule="auto"/>
        <w:ind w:hanging="720"/>
        <w:jc w:val="both"/>
        <w:rPr>
          <w:spacing w:val="-4"/>
          <w:lang w:val="uk-UA"/>
        </w:rPr>
      </w:pPr>
      <w:r>
        <w:rPr>
          <w:lang w:val="uk-UA"/>
        </w:rPr>
        <w:t>Яріш О.В. Галузевий</w:t>
      </w:r>
      <w:r>
        <w:rPr>
          <w:lang w:val="uk-UA"/>
        </w:rPr>
        <w:t xml:space="preserve"> зміст методики інвестиційної </w:t>
      </w:r>
      <w:r>
        <w:rPr>
          <w:spacing w:val="-4"/>
          <w:lang w:val="uk-UA"/>
        </w:rPr>
        <w:t>привабливості акцій //Регіональні перспективи. – 2004. – №1-2. – С. 16-18.- 0,3 д.а.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Тези доповідей:</w:t>
      </w:r>
    </w:p>
    <w:p w:rsidR="00000000" w:rsidRDefault="000130BE">
      <w:pPr>
        <w:numPr>
          <w:ilvl w:val="0"/>
          <w:numId w:val="11"/>
        </w:numPr>
        <w:spacing w:line="360" w:lineRule="auto"/>
        <w:ind w:hanging="720"/>
        <w:jc w:val="both"/>
        <w:rPr>
          <w:lang w:val="uk-UA"/>
        </w:rPr>
      </w:pPr>
      <w:r>
        <w:rPr>
          <w:lang w:val="uk-UA"/>
        </w:rPr>
        <w:t>Яріш О.В., Скляр Г.П. Деякі аспекти інвестиційної діяльності в умовах реструктуризації економіки // Реструктуризація екон</w:t>
      </w:r>
      <w:r>
        <w:rPr>
          <w:lang w:val="uk-UA"/>
        </w:rPr>
        <w:t>оміки та інвестиції в Україні. Матеріали міжнародної науково-практичної конференції. Частина І. – Чернівці, 1998. -С. 41-47. – 0,6 д.а.</w:t>
      </w:r>
    </w:p>
    <w:p w:rsidR="00000000" w:rsidRDefault="000130BE">
      <w:pPr>
        <w:pStyle w:val="BodyText21"/>
        <w:numPr>
          <w:ilvl w:val="0"/>
          <w:numId w:val="11"/>
        </w:numPr>
        <w:ind w:hanging="720"/>
        <w:rPr>
          <w:sz w:val="24"/>
          <w:szCs w:val="24"/>
          <w:lang w:val="ru-RU"/>
        </w:rPr>
      </w:pPr>
      <w:r>
        <w:rPr>
          <w:sz w:val="24"/>
          <w:szCs w:val="24"/>
        </w:rPr>
        <w:t>Яриш Е.В. Инвестиционн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е качества </w:t>
      </w:r>
      <w:r>
        <w:rPr>
          <w:sz w:val="24"/>
          <w:szCs w:val="24"/>
          <w:lang w:val="ru-RU"/>
        </w:rPr>
        <w:t>акций, как основа принятия решения об инвестировании // Социально-экономические при</w:t>
      </w:r>
      <w:r>
        <w:rPr>
          <w:sz w:val="24"/>
          <w:szCs w:val="24"/>
          <w:lang w:val="ru-RU"/>
        </w:rPr>
        <w:t xml:space="preserve">оритеты регионального развития: </w:t>
      </w:r>
      <w:r>
        <w:rPr>
          <w:sz w:val="24"/>
          <w:szCs w:val="24"/>
          <w:lang w:val="ru-RU"/>
        </w:rPr>
        <w:lastRenderedPageBreak/>
        <w:t xml:space="preserve">Материалы Всероссийской научно-практической конференции студентов и молодых ученых. Часть </w:t>
      </w:r>
      <w:r>
        <w:rPr>
          <w:sz w:val="24"/>
          <w:szCs w:val="24"/>
        </w:rPr>
        <w:t>ІІ</w:t>
      </w:r>
      <w:r>
        <w:rPr>
          <w:sz w:val="24"/>
          <w:szCs w:val="24"/>
          <w:lang w:val="ru-RU"/>
        </w:rPr>
        <w:t>. – Самара, 2002 .- С.61-63.- 0,1 д.а.</w:t>
      </w:r>
    </w:p>
    <w:p w:rsidR="00000000" w:rsidRDefault="000130BE">
      <w:pPr>
        <w:pStyle w:val="BodyText21"/>
        <w:numPr>
          <w:ilvl w:val="0"/>
          <w:numId w:val="11"/>
        </w:numPr>
        <w:ind w:hanging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Яріш О.В. </w:t>
      </w:r>
      <w:r>
        <w:rPr>
          <w:sz w:val="24"/>
          <w:szCs w:val="24"/>
        </w:rPr>
        <w:t>Проблеми використання фундаментального аналізу для оцінки інвестиційної привабли</w:t>
      </w:r>
      <w:r>
        <w:rPr>
          <w:sz w:val="24"/>
          <w:szCs w:val="24"/>
        </w:rPr>
        <w:t>вості цінних паперів // Матеріали ІІІ Всеукраїнської науково-практичної кон-ференції „Підвищення ролі фінансових відносин у комплексному соціально-економічному розвитку регіону”. – Дніпропетровськ: Наука і освіта, 2002. – 252-254. – 0,1 д.а.</w:t>
      </w:r>
    </w:p>
    <w:p w:rsidR="00000000" w:rsidRDefault="000130BE">
      <w:pPr>
        <w:pStyle w:val="BodyText21"/>
        <w:ind w:left="720" w:hanging="720"/>
        <w:rPr>
          <w:sz w:val="24"/>
          <w:szCs w:val="24"/>
        </w:rPr>
      </w:pPr>
      <w:r>
        <w:rPr>
          <w:sz w:val="24"/>
          <w:szCs w:val="24"/>
          <w:lang w:val="ru-RU"/>
        </w:rPr>
        <w:t>9.      Я</w:t>
      </w:r>
      <w:r>
        <w:rPr>
          <w:sz w:val="24"/>
          <w:szCs w:val="24"/>
        </w:rPr>
        <w:t>ріш О</w:t>
      </w:r>
      <w:r>
        <w:rPr>
          <w:sz w:val="24"/>
          <w:szCs w:val="24"/>
        </w:rPr>
        <w:t xml:space="preserve">.В. Удосконалення методики оцінки інвестиційної привабливості акцій // Актуальные проблемы и перспективы развития экономики Украины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в контексте глобализации</w:t>
      </w:r>
      <w:r>
        <w:rPr>
          <w:sz w:val="24"/>
          <w:szCs w:val="24"/>
          <w:lang w:val="ru-RU"/>
        </w:rPr>
        <w:t xml:space="preserve">): </w:t>
      </w:r>
      <w:r>
        <w:rPr>
          <w:sz w:val="24"/>
          <w:szCs w:val="24"/>
        </w:rPr>
        <w:t>Материал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ІІІ Всеукра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нсько</w:t>
      </w:r>
      <w:r>
        <w:rPr>
          <w:sz w:val="24"/>
          <w:szCs w:val="24"/>
          <w:lang w:val="ru-RU"/>
        </w:rPr>
        <w:t>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научно-практической конференции. – Симферополь, 2004. – С.74-75.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0,1 д.а.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АНОТАЦІЯ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Яріш О.В. Інвестиційна привабливість акцій відкритих акціонерних товариств (на матеріалах Полтавської області).  – Рукопис.</w:t>
      </w:r>
    </w:p>
    <w:p w:rsidR="00000000" w:rsidRDefault="000130BE">
      <w:pPr>
        <w:spacing w:line="360" w:lineRule="auto"/>
        <w:ind w:firstLine="72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 xml:space="preserve">Дисертація на здобуття наукового ступеня кандидата економічних наук за спеціальністю </w:t>
      </w:r>
      <w:r>
        <w:rPr>
          <w:rFonts w:ascii="Times New Roman CYR" w:hAnsi="Times New Roman CYR" w:cs="Times New Roman CYR"/>
          <w:lang w:val="uk-UA"/>
        </w:rPr>
        <w:t>08.04.01 —  фінанси, грошови</w:t>
      </w:r>
      <w:r>
        <w:rPr>
          <w:rFonts w:ascii="Times New Roman CYR" w:hAnsi="Times New Roman CYR" w:cs="Times New Roman CYR"/>
          <w:lang w:val="uk-UA"/>
        </w:rPr>
        <w:t>й обіг і кредит. -Харківський національний університет ім. В.Н.Каразіна, Харків, 2005.</w:t>
      </w:r>
    </w:p>
    <w:p w:rsidR="00000000" w:rsidRDefault="000130BE">
      <w:pPr>
        <w:pStyle w:val="2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Дисертація присвячена дослідженню теоретичних і методичних підходів до оцінки інвестиційної привабливості акцій відкритих акціонерних товариств. У роботі в</w:t>
      </w:r>
      <w:r>
        <w:rPr>
          <w:sz w:val="24"/>
          <w:szCs w:val="24"/>
        </w:rPr>
        <w:t>иокремлено і с</w:t>
      </w:r>
      <w:r>
        <w:rPr>
          <w:sz w:val="24"/>
          <w:szCs w:val="24"/>
        </w:rPr>
        <w:t>истематизовано фактори інвестиційної привабливості акцій відкритих акціонерних товариств та запропоновано диференційований підхід до визначення змісту категорії „інвестиційна привабливість акцій”, зокрема для стратегічних і портфельних інвесторів. Запропон</w:t>
      </w:r>
      <w:r>
        <w:rPr>
          <w:sz w:val="24"/>
          <w:szCs w:val="24"/>
        </w:rPr>
        <w:t>овано і обґрунтовано методичні підходи до оцінки відносної інвестиційної привабливості акцій відкритих акціонерних товариств для стратегічних та портфельних інвесторів на регіональному та галузевому рівнях. Розроблені методичні підходи до оцінки абсолютної</w:t>
      </w:r>
      <w:r>
        <w:rPr>
          <w:sz w:val="24"/>
          <w:szCs w:val="24"/>
        </w:rPr>
        <w:t xml:space="preserve"> інвестиційної привабливості акцій відкритих акціонерних товариств на основі системи неформалізованих критеріїв  якості емітента.  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rPr>
          <w:u w:val="single"/>
          <w:lang w:val="uk-UA"/>
        </w:rPr>
        <w:t>Ключові слова</w:t>
      </w:r>
      <w:r>
        <w:rPr>
          <w:lang w:val="uk-UA"/>
        </w:rPr>
        <w:t xml:space="preserve">: інвестиційна привабливість, фондовий ринок, акціонерне товариство, акція, стратегічний інвестор, портфельний </w:t>
      </w:r>
      <w:r>
        <w:rPr>
          <w:lang w:val="uk-UA"/>
        </w:rPr>
        <w:t xml:space="preserve">інвестор, експрес-діагностика, рейтингова оцінка. 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</w:rPr>
        <w:t>АННОТАЦИЯ</w:t>
      </w:r>
    </w:p>
    <w:p w:rsidR="00000000" w:rsidRDefault="000130BE">
      <w:pPr>
        <w:spacing w:line="360" w:lineRule="auto"/>
        <w:ind w:firstLine="720"/>
        <w:jc w:val="both"/>
      </w:pPr>
      <w:r>
        <w:t>Яриш Е</w:t>
      </w:r>
      <w:r>
        <w:rPr>
          <w:lang w:val="uk-UA"/>
        </w:rPr>
        <w:t>.</w:t>
      </w:r>
      <w:r>
        <w:t>В. Инвестиционная привлекательность акций открытых акционерных обществ (по материалам Полтавской области). – Рукопись.</w:t>
      </w:r>
    </w:p>
    <w:p w:rsidR="00000000" w:rsidRDefault="000130BE">
      <w:pPr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>
        <w:lastRenderedPageBreak/>
        <w:t>Диссертация на соискание научной степени кандидата экономических нау</w:t>
      </w:r>
      <w:r>
        <w:t xml:space="preserve">к по специальности </w:t>
      </w:r>
      <w:r>
        <w:rPr>
          <w:rFonts w:ascii="Times New Roman CYR" w:hAnsi="Times New Roman CYR" w:cs="Times New Roman CYR"/>
        </w:rPr>
        <w:t>08.04.01 – финансы, денежное обращение и кредит. -Харьковский национальный университет им. В.Н.Каразина, Харьков, 2005.</w:t>
      </w:r>
    </w:p>
    <w:p w:rsidR="00000000" w:rsidRDefault="000130BE">
      <w:pPr>
        <w:spacing w:line="360" w:lineRule="auto"/>
        <w:ind w:firstLine="720"/>
        <w:jc w:val="both"/>
      </w:pPr>
      <w:r>
        <w:t>Диссертационная работа посвящена исследованию теоретических и методических подходов к оценке инвестиционной привлекат</w:t>
      </w:r>
      <w:r>
        <w:t>ельности акций открытых акционерных обществ в условиях низкой активности организованного рынка акций в Украине.</w:t>
      </w:r>
    </w:p>
    <w:p w:rsidR="00000000" w:rsidRDefault="000130BE">
      <w:pPr>
        <w:spacing w:line="360" w:lineRule="auto"/>
        <w:ind w:firstLine="720"/>
        <w:jc w:val="both"/>
        <w:rPr>
          <w:lang w:val="uk-UA"/>
        </w:rPr>
      </w:pPr>
      <w:r>
        <w:t>В работе освещены экономическая сущность акций, их место и роль в системе финансовых инструментов фондового рынка Украины. Уточнено экономическо</w:t>
      </w:r>
      <w:r>
        <w:t>е содержание категории „инвестиционная привлекательность акций” с конкретизацией понятия для стратегических и портфельных инвесторов. Представлена уточненная классификация факторов, которые влияют на уровень инвестиционной привлекательности акций открытого</w:t>
      </w:r>
      <w:r>
        <w:t xml:space="preserve"> акционерного общества</w:t>
      </w:r>
      <w:r>
        <w:rPr>
          <w:lang w:val="uk-UA"/>
        </w:rPr>
        <w:t xml:space="preserve">. При </w:t>
      </w:r>
      <w:r>
        <w:t>этом группа объективных факторо</w:t>
      </w:r>
      <w:r>
        <w:rPr>
          <w:lang w:val="uk-UA"/>
        </w:rPr>
        <w:t>в</w:t>
      </w:r>
      <w:r>
        <w:t xml:space="preserve"> был</w:t>
      </w:r>
      <w:r>
        <w:rPr>
          <w:lang w:val="uk-UA"/>
        </w:rPr>
        <w:t>а</w:t>
      </w:r>
      <w:r>
        <w:t xml:space="preserve"> дополнен</w:t>
      </w:r>
      <w:r>
        <w:rPr>
          <w:lang w:val="uk-UA"/>
        </w:rPr>
        <w:t>а</w:t>
      </w:r>
      <w:r>
        <w:t xml:space="preserve"> критерием</w:t>
      </w:r>
      <w:r>
        <w:rPr>
          <w:lang w:val="uk-UA"/>
        </w:rPr>
        <w:t>,</w:t>
      </w:r>
      <w:r>
        <w:t xml:space="preserve"> который отображает качество корпоративного управления на предприятии, а групп</w:t>
      </w:r>
      <w:r>
        <w:rPr>
          <w:lang w:val="uk-UA"/>
        </w:rPr>
        <w:t>а</w:t>
      </w:r>
      <w:r>
        <w:t xml:space="preserve"> субъективных факторов – перечнем скрытых преимуществ инвестирования в акции, а именно: пол</w:t>
      </w:r>
      <w:r>
        <w:t>учение локальной монополии на рынке товаров или услуг, управление сырьевыми и энергетическими потоками, высокая рыночная стоимость земельного участка, который находится в распоряжении эмитента, получение контроля над компанией для обеспечения замкнутости п</w:t>
      </w:r>
      <w:r>
        <w:t>роизводственного цикла, получение государственной поддержки</w:t>
      </w:r>
      <w:r>
        <w:rPr>
          <w:lang w:val="uk-UA"/>
        </w:rPr>
        <w:t>.</w:t>
      </w:r>
    </w:p>
    <w:p w:rsidR="00000000" w:rsidRDefault="000130BE">
      <w:pPr>
        <w:spacing w:line="360" w:lineRule="auto"/>
        <w:ind w:firstLine="720"/>
        <w:jc w:val="both"/>
      </w:pPr>
      <w:r>
        <w:t>Приведен аналитический обзор действующего нормативно-правового и методического обеспечения процедуры оценки инвестиционной привлекательности акционерных обществ и выпущенных ими акций.</w:t>
      </w:r>
    </w:p>
    <w:p w:rsidR="00000000" w:rsidRDefault="000130BE">
      <w:pPr>
        <w:spacing w:line="360" w:lineRule="auto"/>
        <w:ind w:firstLine="720"/>
        <w:jc w:val="both"/>
      </w:pPr>
      <w:r>
        <w:t>Обоснован</w:t>
      </w:r>
      <w:r>
        <w:rPr>
          <w:lang w:val="uk-UA"/>
        </w:rPr>
        <w:t>а</w:t>
      </w:r>
      <w:r>
        <w:t xml:space="preserve"> приоритетность фундаментального анализа по сравнению с техническим анализом и теорией эффективного рынка для оценки инвестиционной привлекательности акций. Сделаны выводы о необходимости его адаптации к условиям функционирования современного рынка акций в</w:t>
      </w:r>
      <w:r>
        <w:t xml:space="preserve"> Украине. В связи с этим предложен алгоритм комплексного анализа инвестиционной привлекательности акций открытых акционерных обществ на основе трансформации структуры поэтапного фундаментального анализа для украинских и иностранных инвесторов. При этом вве</w:t>
      </w:r>
      <w:r>
        <w:t xml:space="preserve">дено понятие </w:t>
      </w:r>
      <w:r>
        <w:rPr>
          <w:lang w:val="uk-UA"/>
        </w:rPr>
        <w:t>„</w:t>
      </w:r>
      <w:r>
        <w:t>относительная инвестиционная привлекательность</w:t>
      </w:r>
      <w:r>
        <w:rPr>
          <w:lang w:val="uk-UA"/>
        </w:rPr>
        <w:t>”</w:t>
      </w:r>
      <w:r>
        <w:t xml:space="preserve"> на региональном, отраслевом и микроэкономическом этапах фундаментального анализа акций, а также понятие </w:t>
      </w:r>
      <w:r>
        <w:rPr>
          <w:lang w:val="uk-UA"/>
        </w:rPr>
        <w:t>„</w:t>
      </w:r>
      <w:r>
        <w:t>абсолютная инвестиционная привлекательность</w:t>
      </w:r>
      <w:r>
        <w:rPr>
          <w:lang w:val="uk-UA"/>
        </w:rPr>
        <w:t>”</w:t>
      </w:r>
      <w:r>
        <w:t xml:space="preserve"> - для оценки акций конкретного акционерного </w:t>
      </w:r>
      <w:r>
        <w:t xml:space="preserve">общества. </w:t>
      </w:r>
    </w:p>
    <w:p w:rsidR="00000000" w:rsidRDefault="000130BE">
      <w:pPr>
        <w:spacing w:line="360" w:lineRule="auto"/>
        <w:ind w:firstLine="720"/>
        <w:jc w:val="both"/>
      </w:pPr>
      <w:r>
        <w:t>С целью апробации предложенного комплексного подхода к оценке инвестиционной привлекательности акций проведен анализ тенденций развития рынка акций Полтавской области</w:t>
      </w:r>
      <w:r>
        <w:rPr>
          <w:lang w:val="uk-UA"/>
        </w:rPr>
        <w:t>,</w:t>
      </w:r>
      <w:r>
        <w:t xml:space="preserve"> на основании чего разработаны рекомендации, направленные на активизацию инвес</w:t>
      </w:r>
      <w:r>
        <w:t>тиционных процессов на региональном рынке ценных бумаг.</w:t>
      </w:r>
    </w:p>
    <w:p w:rsidR="00000000" w:rsidRDefault="000130BE">
      <w:pPr>
        <w:pStyle w:val="2"/>
        <w:tabs>
          <w:tab w:val="left" w:pos="1260"/>
        </w:tabs>
        <w:ind w:firstLine="720"/>
        <w:rPr>
          <w:spacing w:val="-6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Разработана методическая основа экспресс-диагностики относительной инвестиционной привлекательности отраслей (подотраслей)  экономики, что позволило на основе построенного рейтинга оценить отраслевую </w:t>
      </w:r>
      <w:r>
        <w:rPr>
          <w:sz w:val="24"/>
          <w:szCs w:val="24"/>
          <w:lang w:val="ru-RU"/>
        </w:rPr>
        <w:t>структуру рынка акций Полтавского региона и определить приоритетные отрасли для финансового инвестирования. В соответствии с предложенным подходом выделенные показатели инвестиционной привлекательности открытых акционерных обществ в зависимости от их эконо</w:t>
      </w:r>
      <w:r>
        <w:rPr>
          <w:sz w:val="24"/>
          <w:szCs w:val="24"/>
          <w:lang w:val="ru-RU"/>
        </w:rPr>
        <w:t>мического смысла систематизированы в 3 группы (надежности и устойчивости финансового состояния, перспектив финансово-хозяйственной деятельности, доходности и прибыльности).Дифференцированный подход к оценке инвестиционной привлекательности отраслей (подотр</w:t>
      </w:r>
      <w:r>
        <w:rPr>
          <w:sz w:val="24"/>
          <w:szCs w:val="24"/>
          <w:lang w:val="ru-RU"/>
        </w:rPr>
        <w:t xml:space="preserve">аслей) экономики для стратегических и портфельных инвесторов реализован путем </w:t>
      </w:r>
      <w:r>
        <w:rPr>
          <w:spacing w:val="-6"/>
          <w:sz w:val="24"/>
          <w:szCs w:val="24"/>
          <w:lang w:val="ru-RU"/>
        </w:rPr>
        <w:t>введения коэффициентов значимости выделенных групп показателей.</w:t>
      </w:r>
    </w:p>
    <w:p w:rsidR="00000000" w:rsidRDefault="000130BE">
      <w:pPr>
        <w:spacing w:line="360" w:lineRule="auto"/>
        <w:ind w:firstLine="720"/>
        <w:jc w:val="both"/>
      </w:pPr>
      <w:r>
        <w:t>Информационной базой стали данные о финансово-хозяйственной деятельности открытых акционерных обществ, представлен</w:t>
      </w:r>
      <w:r>
        <w:t>ные Полтавским территориальным управлением Государственной комиссии по ценным бумагам и фондовому рынку. В процессе анализа предприятия были классифицированы по видам экономической деятельности, что позволило внедрить систему мониторинга тенденций развития</w:t>
      </w:r>
      <w:r>
        <w:t xml:space="preserve"> акционерных обществ региона в отраслевом разрезе.</w:t>
      </w:r>
    </w:p>
    <w:p w:rsidR="00000000" w:rsidRDefault="000130BE">
      <w:pPr>
        <w:spacing w:line="360" w:lineRule="auto"/>
        <w:ind w:firstLine="720"/>
        <w:jc w:val="both"/>
      </w:pPr>
      <w:r>
        <w:t>Предложены методические подходы к оценке абсолютной инвестиционной привлекательности акций открытого акционерного общества на основе системы неформализованных критериев, а именно: степени надежности и дост</w:t>
      </w:r>
      <w:r>
        <w:t>оверности публичной финансовой отчетности открытого акционерного общества; качества корпоративного управления на предприятии; эффективности инвестирования в акции; степени обеспечения скрытых преимуществ при инвестировании в акции конкретного эмитента.</w:t>
      </w:r>
    </w:p>
    <w:p w:rsidR="00000000" w:rsidRDefault="000130BE">
      <w:pPr>
        <w:spacing w:line="360" w:lineRule="auto"/>
        <w:ind w:firstLine="720"/>
        <w:jc w:val="both"/>
      </w:pPr>
      <w:r>
        <w:rPr>
          <w:u w:val="single"/>
        </w:rPr>
        <w:t>Клю</w:t>
      </w:r>
      <w:r>
        <w:rPr>
          <w:u w:val="single"/>
        </w:rPr>
        <w:t>чевые слова</w:t>
      </w:r>
      <w:r>
        <w:t>: инвестиционная привлекательность, фондовый рынок, акционерное общество, акция, стратегический инвестор, портфельный инвестор, экспресс-диагностика, рейтинговая оценка.</w:t>
      </w: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</w:p>
    <w:p w:rsidR="00000000" w:rsidRDefault="000130B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en-US"/>
        </w:rPr>
        <w:t>ANNOTATION</w:t>
      </w:r>
    </w:p>
    <w:p w:rsidR="00000000" w:rsidRDefault="000130BE">
      <w:pPr>
        <w:spacing w:line="360" w:lineRule="auto"/>
        <w:ind w:firstLine="540"/>
        <w:jc w:val="both"/>
        <w:rPr>
          <w:lang w:val="en-US"/>
        </w:rPr>
      </w:pPr>
      <w:r>
        <w:rPr>
          <w:lang w:val="en-US"/>
        </w:rPr>
        <w:t xml:space="preserve">Olena Jarish. Investment attractiveness of shares of open joint-stock companies. Made on the materials of Poltava region. </w:t>
      </w:r>
      <w:r>
        <w:rPr>
          <w:lang w:val="uk-UA"/>
        </w:rPr>
        <w:t>-</w:t>
      </w:r>
      <w:r>
        <w:rPr>
          <w:lang w:val="en-US"/>
        </w:rPr>
        <w:t>Manuscript.</w:t>
      </w:r>
    </w:p>
    <w:p w:rsidR="00000000" w:rsidRDefault="000130BE">
      <w:pPr>
        <w:spacing w:line="360" w:lineRule="auto"/>
        <w:ind w:firstLine="540"/>
        <w:jc w:val="both"/>
        <w:rPr>
          <w:lang w:val="en-US"/>
        </w:rPr>
      </w:pPr>
      <w:r>
        <w:rPr>
          <w:lang w:val="en-US"/>
        </w:rPr>
        <w:t xml:space="preserve">Dissertation for obtaining the scientific degree of candidate of economic sciences, specialty </w:t>
      </w:r>
      <w:r>
        <w:rPr>
          <w:lang w:val="uk-UA"/>
        </w:rPr>
        <w:t>08.04.01</w:t>
      </w:r>
      <w:r>
        <w:rPr>
          <w:lang w:val="en-US"/>
        </w:rPr>
        <w:t xml:space="preserve"> – Finance, Monetar</w:t>
      </w:r>
      <w:r>
        <w:rPr>
          <w:lang w:val="en-US"/>
        </w:rPr>
        <w:t>y turnover and Credit. - Kharkiv Karazin National University, Kharkiv, 2005.</w:t>
      </w:r>
    </w:p>
    <w:p w:rsidR="00000000" w:rsidRDefault="000130BE">
      <w:pPr>
        <w:spacing w:line="360" w:lineRule="auto"/>
        <w:ind w:firstLine="540"/>
        <w:jc w:val="both"/>
        <w:rPr>
          <w:lang w:val="en-US"/>
        </w:rPr>
      </w:pPr>
      <w:r>
        <w:rPr>
          <w:lang w:val="en-US"/>
        </w:rPr>
        <w:t xml:space="preserve">The dissertation is dedicated to the research of theoretical and methodological approaches to the estimation of investment attractiveness of shares of open joint-stock companies. </w:t>
      </w:r>
    </w:p>
    <w:p w:rsidR="00000000" w:rsidRDefault="000130BE">
      <w:pPr>
        <w:spacing w:line="360" w:lineRule="auto"/>
        <w:ind w:firstLine="540"/>
        <w:jc w:val="both"/>
        <w:rPr>
          <w:lang w:val="en-US"/>
        </w:rPr>
      </w:pPr>
      <w:r>
        <w:rPr>
          <w:lang w:val="en-US"/>
        </w:rPr>
        <w:lastRenderedPageBreak/>
        <w:t>The factors of investment attractiveness of open joint-stock companies’ shares are outlined and systematized. The differential approach for the definition of the contents of the category “investment attractiveness of shares” for the strategic and case inv</w:t>
      </w:r>
      <w:r>
        <w:rPr>
          <w:lang w:val="en-US"/>
        </w:rPr>
        <w:t xml:space="preserve">estors is proposed. </w:t>
      </w:r>
    </w:p>
    <w:p w:rsidR="00000000" w:rsidRDefault="000130BE">
      <w:pPr>
        <w:spacing w:line="360" w:lineRule="auto"/>
        <w:ind w:firstLine="540"/>
        <w:jc w:val="both"/>
        <w:rPr>
          <w:lang w:val="en-US"/>
        </w:rPr>
      </w:pPr>
      <w:r>
        <w:rPr>
          <w:lang w:val="en-US"/>
        </w:rPr>
        <w:t xml:space="preserve">The methodological approaches to the estimation of relative investment attractiveness of joint-stock companies’ shares for strategic and case investors on the regional and branch levels are proposed. The methodological approach to the </w:t>
      </w:r>
      <w:r>
        <w:rPr>
          <w:lang w:val="en-US"/>
        </w:rPr>
        <w:t xml:space="preserve">diagnostics of absolute investment attractiveness of joint-stock companies’ shares on the base of the non-formalized criteria of emitter quality is designed. </w:t>
      </w:r>
    </w:p>
    <w:p w:rsidR="00000000" w:rsidRDefault="000130BE">
      <w:pPr>
        <w:spacing w:line="360" w:lineRule="auto"/>
        <w:ind w:firstLine="540"/>
        <w:jc w:val="both"/>
        <w:rPr>
          <w:lang w:val="uk-UA"/>
        </w:rPr>
      </w:pPr>
      <w:r>
        <w:rPr>
          <w:u w:val="single"/>
          <w:lang w:val="en-US"/>
        </w:rPr>
        <w:t>The key-words</w:t>
      </w:r>
      <w:r>
        <w:rPr>
          <w:lang w:val="en-US"/>
        </w:rPr>
        <w:t>: investment attractiveness, share market, joint-stock company, share, strategic inv</w:t>
      </w:r>
      <w:r>
        <w:rPr>
          <w:lang w:val="en-US"/>
        </w:rPr>
        <w:t xml:space="preserve">estor, case investor, express-diagnostics, rating estimation.    </w:t>
      </w:r>
    </w:p>
    <w:p w:rsidR="00000000" w:rsidRDefault="000130BE">
      <w:pPr>
        <w:spacing w:line="360" w:lineRule="auto"/>
        <w:ind w:firstLine="720"/>
        <w:jc w:val="center"/>
        <w:rPr>
          <w:lang w:val="uk-UA"/>
        </w:rPr>
      </w:pPr>
    </w:p>
    <w:p w:rsidR="00000000" w:rsidRDefault="000130BE">
      <w:pPr>
        <w:spacing w:line="360" w:lineRule="auto"/>
        <w:ind w:firstLine="720"/>
        <w:jc w:val="center"/>
        <w:rPr>
          <w:lang w:val="uk-UA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ind w:left="720"/>
        <w:rPr>
          <w:b w:val="0"/>
          <w:bCs w:val="0"/>
          <w:sz w:val="24"/>
          <w:szCs w:val="24"/>
          <w:lang w:val="en-US"/>
        </w:rPr>
      </w:pPr>
    </w:p>
    <w:p w:rsidR="00000000" w:rsidRDefault="000130BE">
      <w:pPr>
        <w:pStyle w:val="a6"/>
        <w:spacing w:line="360" w:lineRule="auto"/>
        <w:rPr>
          <w:b w:val="0"/>
          <w:bCs w:val="0"/>
          <w:i/>
          <w:iCs/>
          <w:sz w:val="24"/>
          <w:szCs w:val="24"/>
          <w:lang w:val="en-US"/>
        </w:rPr>
      </w:pPr>
      <w:r>
        <w:rPr>
          <w:b w:val="0"/>
          <w:bCs w:val="0"/>
          <w:i/>
          <w:iCs/>
          <w:sz w:val="24"/>
          <w:szCs w:val="24"/>
          <w:lang w:val="ru-RU"/>
        </w:rPr>
        <w:t xml:space="preserve">Підписано до друку 10.03.2005 р. </w:t>
      </w:r>
    </w:p>
    <w:p w:rsidR="00000000" w:rsidRDefault="000130BE">
      <w:pPr>
        <w:pStyle w:val="a6"/>
        <w:spacing w:line="360" w:lineRule="auto"/>
        <w:rPr>
          <w:b w:val="0"/>
          <w:bCs w:val="0"/>
          <w:i/>
          <w:iCs/>
          <w:sz w:val="24"/>
          <w:szCs w:val="24"/>
          <w:lang w:val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>Формат 148</w:t>
      </w:r>
      <w:r>
        <w:rPr>
          <w:b w:val="0"/>
          <w:bCs w:val="0"/>
          <w:i/>
          <w:iCs/>
          <w:sz w:val="24"/>
          <w:szCs w:val="24"/>
        </w:rPr>
        <w:t>х210.</w:t>
      </w:r>
      <w:r>
        <w:rPr>
          <w:b w:val="0"/>
          <w:bCs w:val="0"/>
          <w:i/>
          <w:iCs/>
          <w:sz w:val="24"/>
          <w:szCs w:val="24"/>
          <w:lang w:val="ru-RU"/>
        </w:rPr>
        <w:t xml:space="preserve"> Папір 80г/м</w:t>
      </w:r>
      <w:r>
        <w:rPr>
          <w:b w:val="0"/>
          <w:bCs w:val="0"/>
          <w:i/>
          <w:iCs/>
          <w:sz w:val="24"/>
          <w:szCs w:val="24"/>
          <w:vertAlign w:val="superscript"/>
          <w:lang w:val="ru-RU"/>
        </w:rPr>
        <w:t>2</w:t>
      </w:r>
      <w:r>
        <w:rPr>
          <w:b w:val="0"/>
          <w:bCs w:val="0"/>
          <w:i/>
          <w:iCs/>
          <w:sz w:val="24"/>
          <w:szCs w:val="24"/>
          <w:lang w:val="ru-RU"/>
        </w:rPr>
        <w:t>.  Ум.друк. арк. 0,9+0,1 (обкл.)</w:t>
      </w:r>
    </w:p>
    <w:p w:rsidR="00000000" w:rsidRDefault="000130BE">
      <w:pPr>
        <w:pStyle w:val="a6"/>
        <w:spacing w:line="360" w:lineRule="auto"/>
        <w:rPr>
          <w:b w:val="0"/>
          <w:bCs w:val="0"/>
          <w:i/>
          <w:iCs/>
          <w:sz w:val="24"/>
          <w:szCs w:val="24"/>
          <w:lang w:val="ru-RU"/>
        </w:rPr>
      </w:pPr>
      <w:r>
        <w:rPr>
          <w:b w:val="0"/>
          <w:bCs w:val="0"/>
          <w:i/>
          <w:iCs/>
          <w:sz w:val="24"/>
          <w:szCs w:val="24"/>
          <w:lang w:val="ru-RU"/>
        </w:rPr>
        <w:t>Тираж 100 прим. Зам. № ___</w:t>
      </w:r>
    </w:p>
    <w:p w:rsidR="00000000" w:rsidRDefault="000130BE">
      <w:pPr>
        <w:pStyle w:val="a6"/>
        <w:spacing w:line="360" w:lineRule="auto"/>
        <w:jc w:val="left"/>
        <w:rPr>
          <w:b w:val="0"/>
          <w:bCs w:val="0"/>
          <w:i/>
          <w:iCs/>
          <w:sz w:val="24"/>
          <w:szCs w:val="24"/>
          <w:lang w:val="ru-RU"/>
        </w:rPr>
      </w:pPr>
    </w:p>
    <w:p w:rsidR="00000000" w:rsidRDefault="000130BE">
      <w:pPr>
        <w:pStyle w:val="a6"/>
        <w:spacing w:line="360" w:lineRule="auto"/>
        <w:jc w:val="left"/>
        <w:rPr>
          <w:b w:val="0"/>
          <w:bCs w:val="0"/>
          <w:i/>
          <w:iCs/>
          <w:sz w:val="24"/>
          <w:szCs w:val="24"/>
          <w:lang w:val="ru-RU"/>
        </w:rPr>
      </w:pPr>
    </w:p>
    <w:p w:rsidR="00000000" w:rsidRDefault="000130BE">
      <w:pPr>
        <w:spacing w:before="120" w:line="360" w:lineRule="auto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Видано редакцій</w:t>
      </w:r>
      <w:r>
        <w:rPr>
          <w:i/>
          <w:iCs/>
          <w:lang w:val="uk-UA"/>
        </w:rPr>
        <w:t>но-видавничим відділом ПУСКУ</w:t>
      </w:r>
    </w:p>
    <w:p w:rsidR="000130BE" w:rsidRDefault="000130BE">
      <w:pPr>
        <w:pStyle w:val="a6"/>
        <w:spacing w:line="360" w:lineRule="auto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36014, м. Полтава, вул. Коваля, 3</w:t>
      </w:r>
    </w:p>
    <w:sectPr w:rsidR="000130BE">
      <w:headerReference w:type="default" r:id="rId11"/>
      <w:footerReference w:type="default" r:id="rId12"/>
      <w:type w:val="oddPage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BE" w:rsidRDefault="000130BE">
      <w:r>
        <w:separator/>
      </w:r>
    </w:p>
  </w:endnote>
  <w:endnote w:type="continuationSeparator" w:id="0">
    <w:p w:rsidR="000130BE" w:rsidRDefault="000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0B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0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BE" w:rsidRDefault="000130BE">
      <w:r>
        <w:separator/>
      </w:r>
    </w:p>
  </w:footnote>
  <w:footnote w:type="continuationSeparator" w:id="0">
    <w:p w:rsidR="000130BE" w:rsidRDefault="0001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0BE">
    <w:pPr>
      <w:pStyle w:val="a8"/>
      <w:framePr w:wrap="auto" w:vAnchor="text" w:hAnchor="margin" w:xAlign="center" w:y="1"/>
      <w:rPr>
        <w:rStyle w:val="aa"/>
      </w:rPr>
    </w:pPr>
  </w:p>
  <w:p w:rsidR="00000000" w:rsidRDefault="000130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0BE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228E">
      <w:rPr>
        <w:rStyle w:val="aa"/>
        <w:noProof/>
      </w:rPr>
      <w:t>24</w:t>
    </w:r>
    <w:r>
      <w:rPr>
        <w:rStyle w:val="aa"/>
      </w:rPr>
      <w:fldChar w:fldCharType="end"/>
    </w:r>
  </w:p>
  <w:p w:rsidR="00000000" w:rsidRDefault="00013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452"/>
    <w:multiLevelType w:val="multilevel"/>
    <w:tmpl w:val="B6A20E3A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40D45A4"/>
    <w:multiLevelType w:val="multilevel"/>
    <w:tmpl w:val="EF96D01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6DE5F3A"/>
    <w:multiLevelType w:val="multilevel"/>
    <w:tmpl w:val="3B0A42E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9E57337"/>
    <w:multiLevelType w:val="multilevel"/>
    <w:tmpl w:val="C41045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4A71EF"/>
    <w:multiLevelType w:val="singleLevel"/>
    <w:tmpl w:val="7280147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39E0172"/>
    <w:multiLevelType w:val="multilevel"/>
    <w:tmpl w:val="4AB8DD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8C37C5"/>
    <w:multiLevelType w:val="multilevel"/>
    <w:tmpl w:val="34CCE67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CA6376"/>
    <w:multiLevelType w:val="multilevel"/>
    <w:tmpl w:val="CCE034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F64391A"/>
    <w:multiLevelType w:val="multilevel"/>
    <w:tmpl w:val="A23A111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61DF6D14"/>
    <w:multiLevelType w:val="singleLevel"/>
    <w:tmpl w:val="C85C2C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9B108BA"/>
    <w:multiLevelType w:val="multilevel"/>
    <w:tmpl w:val="61F8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8110F"/>
    <w:multiLevelType w:val="multilevel"/>
    <w:tmpl w:val="DE5ACE2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9B78D3"/>
    <w:multiLevelType w:val="multilevel"/>
    <w:tmpl w:val="691A6EB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DD931A5"/>
    <w:multiLevelType w:val="multilevel"/>
    <w:tmpl w:val="89E244FA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E"/>
    <w:rsid w:val="000130BE"/>
    <w:rsid w:val="00E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36"/>
      <w:szCs w:val="36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both"/>
    </w:pPr>
    <w:rPr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Web">
    <w:name w:val="Обычный (Web)"/>
    <w:basedOn w:val="a"/>
    <w:uiPriority w:val="99"/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  <w:sz w:val="26"/>
      <w:szCs w:val="26"/>
      <w:lang w:val="uk-UA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1">
    <w:name w:val="Body Text1"/>
    <w:basedOn w:val="a"/>
    <w:uiPriority w:val="99"/>
    <w:pPr>
      <w:jc w:val="center"/>
    </w:pPr>
    <w:rPr>
      <w:rFonts w:ascii="Pragmatica" w:hAnsi="Pragmatica" w:cs="Pragmatica"/>
      <w:b/>
      <w:bCs/>
      <w:i/>
      <w:iCs/>
      <w:lang w:val="uk-UA"/>
    </w:rPr>
  </w:style>
  <w:style w:type="paragraph" w:styleId="21">
    <w:name w:val="Body Text Indent 2"/>
    <w:basedOn w:val="a"/>
    <w:link w:val="22"/>
    <w:uiPriority w:val="99"/>
    <w:pPr>
      <w:ind w:left="709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pPr>
      <w:spacing w:line="360" w:lineRule="auto"/>
      <w:jc w:val="both"/>
    </w:pPr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36"/>
      <w:szCs w:val="36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both"/>
    </w:pPr>
    <w:rPr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Web">
    <w:name w:val="Обычный (Web)"/>
    <w:basedOn w:val="a"/>
    <w:uiPriority w:val="99"/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  <w:sz w:val="26"/>
      <w:szCs w:val="26"/>
      <w:lang w:val="uk-UA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1">
    <w:name w:val="Body Text1"/>
    <w:basedOn w:val="a"/>
    <w:uiPriority w:val="99"/>
    <w:pPr>
      <w:jc w:val="center"/>
    </w:pPr>
    <w:rPr>
      <w:rFonts w:ascii="Pragmatica" w:hAnsi="Pragmatica" w:cs="Pragmatica"/>
      <w:b/>
      <w:bCs/>
      <w:i/>
      <w:iCs/>
      <w:lang w:val="uk-UA"/>
    </w:rPr>
  </w:style>
  <w:style w:type="paragraph" w:styleId="21">
    <w:name w:val="Body Text Indent 2"/>
    <w:basedOn w:val="a"/>
    <w:link w:val="22"/>
    <w:uiPriority w:val="99"/>
    <w:pPr>
      <w:ind w:left="709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pPr>
      <w:spacing w:line="360" w:lineRule="auto"/>
      <w:jc w:val="both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64"/>
      <c:hPercent val="36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438162544169613E-2"/>
          <c:y val="0.10526315789473684"/>
          <c:w val="0.90989399293286222"/>
          <c:h val="0.63533834586466165"/>
        </c:manualLayout>
      </c:layout>
      <c:bar3DChart>
        <c:barDir val="col"/>
        <c:grouping val="clustered"/>
        <c:varyColors val="0"/>
        <c:ser>
          <c:idx val="0"/>
          <c:order val="0"/>
          <c:tx>
            <c:v>Організований ринок цінних паперів</c:v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1201413427561838"/>
                  <c:y val="0.52631578947368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30035335689045939"/>
                  <c:y val="0.54511278195488722"/>
                </c:manualLayout>
              </c:layout>
              <c:tx>
                <c:rich>
                  <a:bodyPr/>
                  <a:lstStyle/>
                  <a:p>
                    <a:r>
                      <a:t>2,90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3833922261484099"/>
                  <c:y val="0.496240601503759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48233215547703179"/>
                  <c:y val="0.518796992481203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57067137809187274"/>
                  <c:y val="0.496240601503759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66077738515901063"/>
                  <c:y val="0.50375939849624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7614840989399293"/>
                  <c:y val="0.537593984962406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7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</c:numLit>
          </c:cat>
          <c:val>
            <c:numRef>
              <c:f>Лист1!$A$120:$A$126</c:f>
              <c:numCache>
                <c:formatCode>General</c:formatCode>
                <c:ptCount val="7"/>
                <c:pt idx="0">
                  <c:v>10.130000000000001</c:v>
                </c:pt>
                <c:pt idx="1">
                  <c:v>2.9</c:v>
                </c:pt>
                <c:pt idx="2">
                  <c:v>11.32</c:v>
                </c:pt>
                <c:pt idx="3">
                  <c:v>7.19</c:v>
                </c:pt>
                <c:pt idx="4">
                  <c:v>13.49</c:v>
                </c:pt>
                <c:pt idx="5">
                  <c:v>6.02</c:v>
                </c:pt>
                <c:pt idx="6">
                  <c:v>1.73</c:v>
                </c:pt>
              </c:numCache>
            </c:numRef>
          </c:val>
        </c:ser>
        <c:ser>
          <c:idx val="1"/>
          <c:order val="1"/>
          <c:tx>
            <c:v>Неорганізований ринок цінних паперів</c:v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4381625441696114"/>
                  <c:y val="0.13157894736842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3409893992932862"/>
                  <c:y val="9.3984962406015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41519434628975266"/>
                  <c:y val="0.127819548872180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5070671378091873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59893992932862195"/>
                  <c:y val="0.13157894736842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69787985865724378"/>
                  <c:y val="0.101503759398496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78621908127208484"/>
                  <c:y val="9.0225563909774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7"/>
              <c:pt idx="0">
                <c:v>1997</c:v>
              </c:pt>
              <c:pt idx="1">
                <c:v>1998</c:v>
              </c:pt>
              <c:pt idx="2">
                <c:v>1999</c:v>
              </c:pt>
              <c:pt idx="3">
                <c:v>2000</c:v>
              </c:pt>
              <c:pt idx="4">
                <c:v>2001</c:v>
              </c:pt>
              <c:pt idx="5">
                <c:v>2002</c:v>
              </c:pt>
              <c:pt idx="6">
                <c:v>2003</c:v>
              </c:pt>
            </c:numLit>
          </c:cat>
          <c:val>
            <c:numRef>
              <c:f>Лист1!$B$120:$B$126</c:f>
              <c:numCache>
                <c:formatCode>General</c:formatCode>
                <c:ptCount val="7"/>
                <c:pt idx="0">
                  <c:v>89.87</c:v>
                </c:pt>
                <c:pt idx="1">
                  <c:v>97.1</c:v>
                </c:pt>
                <c:pt idx="2">
                  <c:v>88.68</c:v>
                </c:pt>
                <c:pt idx="3">
                  <c:v>92.81</c:v>
                </c:pt>
                <c:pt idx="4">
                  <c:v>86.51</c:v>
                </c:pt>
                <c:pt idx="5">
                  <c:v>93.98</c:v>
                </c:pt>
                <c:pt idx="6">
                  <c:v>98.27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2167168"/>
        <c:axId val="152168704"/>
        <c:axId val="0"/>
      </c:bar3DChart>
      <c:catAx>
        <c:axId val="15216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168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168704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167168"/>
        <c:crosses val="autoZero"/>
        <c:crossBetween val="between"/>
      </c:valAx>
      <c:spPr>
        <a:noFill/>
        <a:ln w="25426">
          <a:noFill/>
        </a:ln>
      </c:spPr>
    </c:plotArea>
    <c:legend>
      <c:legendPos val="b"/>
      <c:layout>
        <c:manualLayout>
          <c:xMode val="edge"/>
          <c:yMode val="edge"/>
          <c:x val="5.3003533568904597E-3"/>
          <c:y val="0.87969924812030076"/>
          <c:w val="0.9946996466431095"/>
          <c:h val="0.10150375939849623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2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ЗАГАЛЬНА ХАРАКТЕРИСТИКА ДИСЕРТАЦІЙНОЇ РОБОТИ</vt:lpstr>
    </vt:vector>
  </TitlesOfParts>
  <Company>NBUV</Company>
  <LinksUpToDate>false</LinksUpToDate>
  <CharactersWithSpaces>46098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ДИСЕРТАЦІЙНОЇ РОБОТИ</dc:title>
  <dc:creator>1</dc:creator>
  <cp:lastModifiedBy>user</cp:lastModifiedBy>
  <cp:revision>2</cp:revision>
  <cp:lastPrinted>2005-03-13T19:10:00Z</cp:lastPrinted>
  <dcterms:created xsi:type="dcterms:W3CDTF">2016-11-18T16:26:00Z</dcterms:created>
  <dcterms:modified xsi:type="dcterms:W3CDTF">2016-11-18T16:26:00Z</dcterms:modified>
</cp:coreProperties>
</file>