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E5" w:rsidRPr="000857E5" w:rsidRDefault="000857E5" w:rsidP="0008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sz w:val="24"/>
          <w:szCs w:val="24"/>
          <w:lang w:val="uk-UA"/>
        </w:rPr>
        <w:t>ЗАСТОСУВАННЯ ФІЗИКО-ХІМІЧНИХ МЕТОДІВ ДЛЯ ДОСЛІДЖЕННЯ</w:t>
      </w:r>
    </w:p>
    <w:p w:rsidR="000857E5" w:rsidRPr="000857E5" w:rsidRDefault="000857E5" w:rsidP="000857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sz w:val="24"/>
          <w:szCs w:val="24"/>
          <w:lang w:val="uk-UA"/>
        </w:rPr>
        <w:t>ЯКОСТІ ЗУБНОЇ ПАСТИ</w:t>
      </w:r>
    </w:p>
    <w:p w:rsidR="000857E5" w:rsidRPr="000857E5" w:rsidRDefault="000857E5" w:rsidP="000857E5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0857E5">
        <w:rPr>
          <w:rFonts w:ascii="Times New Roman" w:hAnsi="Times New Roman" w:cs="Times New Roman"/>
          <w:lang w:val="uk-UA"/>
        </w:rPr>
        <w:t xml:space="preserve">Назаренко Е.А, </w:t>
      </w:r>
      <w:proofErr w:type="spellStart"/>
      <w:r w:rsidRPr="000857E5">
        <w:rPr>
          <w:rFonts w:ascii="Times New Roman" w:hAnsi="Times New Roman" w:cs="Times New Roman"/>
          <w:lang w:val="uk-UA"/>
        </w:rPr>
        <w:t>Іващенко</w:t>
      </w:r>
      <w:proofErr w:type="spellEnd"/>
      <w:r w:rsidRPr="000857E5">
        <w:rPr>
          <w:rFonts w:ascii="Times New Roman" w:hAnsi="Times New Roman" w:cs="Times New Roman"/>
          <w:lang w:val="uk-UA"/>
        </w:rPr>
        <w:t xml:space="preserve"> О.Д., </w:t>
      </w:r>
      <w:proofErr w:type="spellStart"/>
      <w:r w:rsidRPr="000857E5">
        <w:rPr>
          <w:rFonts w:ascii="Times New Roman" w:hAnsi="Times New Roman" w:cs="Times New Roman"/>
          <w:lang w:val="uk-UA"/>
        </w:rPr>
        <w:t>Нікозять</w:t>
      </w:r>
      <w:proofErr w:type="spellEnd"/>
      <w:r w:rsidRPr="000857E5">
        <w:rPr>
          <w:rFonts w:ascii="Times New Roman" w:hAnsi="Times New Roman" w:cs="Times New Roman"/>
          <w:lang w:val="uk-UA"/>
        </w:rPr>
        <w:t xml:space="preserve"> Ю.Б., </w:t>
      </w:r>
      <w:proofErr w:type="spellStart"/>
      <w:r w:rsidRPr="000857E5">
        <w:rPr>
          <w:rFonts w:ascii="Times New Roman" w:hAnsi="Times New Roman" w:cs="Times New Roman"/>
          <w:lang w:val="uk-UA"/>
        </w:rPr>
        <w:t>Помаранський</w:t>
      </w:r>
      <w:proofErr w:type="spellEnd"/>
      <w:r w:rsidRPr="000857E5">
        <w:rPr>
          <w:rFonts w:ascii="Times New Roman" w:hAnsi="Times New Roman" w:cs="Times New Roman"/>
          <w:lang w:val="uk-UA"/>
        </w:rPr>
        <w:t xml:space="preserve"> К.А.</w:t>
      </w:r>
    </w:p>
    <w:p w:rsidR="000857E5" w:rsidRPr="000857E5" w:rsidRDefault="000857E5" w:rsidP="000857E5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0857E5">
        <w:rPr>
          <w:rFonts w:ascii="Times New Roman" w:hAnsi="Times New Roman" w:cs="Times New Roman"/>
          <w:lang w:val="uk-UA"/>
        </w:rPr>
        <w:t>Полтавський університет економіки та торгівлі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7E5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виробничих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умовах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велике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значення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ма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швидкість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експресність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аналізу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Фізико-хімічні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методи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аналізу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ві</w:t>
      </w:r>
      <w:proofErr w:type="gramStart"/>
      <w:r w:rsidRPr="000857E5">
        <w:rPr>
          <w:rFonts w:ascii="Times New Roman" w:hAnsi="Times New Roman" w:cs="Times New Roman"/>
          <w:bCs/>
          <w:sz w:val="24"/>
          <w:szCs w:val="24"/>
        </w:rPr>
        <w:t>др</w:t>
      </w:r>
      <w:proofErr w:type="gramEnd"/>
      <w:r w:rsidRPr="000857E5">
        <w:rPr>
          <w:rFonts w:ascii="Times New Roman" w:hAnsi="Times New Roman" w:cs="Times New Roman"/>
          <w:bCs/>
          <w:sz w:val="24"/>
          <w:szCs w:val="24"/>
        </w:rPr>
        <w:t>ізняються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великою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вибірковістю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>,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чутливістю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швидкістю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аналітичних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операцій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>.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7E5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допомогою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фізико-хімічних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методів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</w:t>
      </w:r>
      <w:r>
        <w:rPr>
          <w:rFonts w:ascii="Times New Roman" w:hAnsi="Times New Roman" w:cs="Times New Roman"/>
          <w:bCs/>
          <w:sz w:val="24"/>
          <w:szCs w:val="24"/>
        </w:rPr>
        <w:t>алізу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визначають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фізичних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властивостей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системи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коефіцієнту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заломл</w:t>
      </w:r>
      <w:r>
        <w:rPr>
          <w:rFonts w:ascii="Times New Roman" w:hAnsi="Times New Roman" w:cs="Times New Roman"/>
          <w:bCs/>
          <w:sz w:val="24"/>
          <w:szCs w:val="24"/>
        </w:rPr>
        <w:t>ення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ітла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поглинання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світла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електропровідності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відбуваються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результаті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хімічних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електрохімічних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реакцій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>.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7E5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виконанні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аналізів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фізико-хімічними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методам</w:t>
      </w:r>
      <w:r>
        <w:rPr>
          <w:rFonts w:ascii="Times New Roman" w:hAnsi="Times New Roman" w:cs="Times New Roman"/>
          <w:bCs/>
          <w:sz w:val="24"/>
          <w:szCs w:val="24"/>
        </w:rPr>
        <w:t xml:space="preserve">и точку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еквівалентності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(момент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закінчення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реакції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визначають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візуально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, а за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допомог</w:t>
      </w:r>
      <w:r>
        <w:rPr>
          <w:rFonts w:ascii="Times New Roman" w:hAnsi="Times New Roman" w:cs="Times New Roman"/>
          <w:bCs/>
          <w:sz w:val="24"/>
          <w:szCs w:val="24"/>
        </w:rPr>
        <w:t>ою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приладів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фіксують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зміни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тих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властивост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досл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іджуваної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речовини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Фізико-хімічні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методи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аналізу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дозволяють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вес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промисловості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безперервний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контроль,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автоматизувати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процес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аналізу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Завдяки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своїм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особливостям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вони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широко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використовуються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науково-дослідницьких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виробничих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лабораторіях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охо</w:t>
      </w:r>
      <w:r>
        <w:rPr>
          <w:rFonts w:ascii="Times New Roman" w:hAnsi="Times New Roman" w:cs="Times New Roman"/>
          <w:bCs/>
          <w:sz w:val="24"/>
          <w:szCs w:val="24"/>
        </w:rPr>
        <w:t>роні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навколишнього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середовища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аналіз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повітря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, води,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ґрун</w:t>
      </w:r>
      <w:r>
        <w:rPr>
          <w:rFonts w:ascii="Times New Roman" w:hAnsi="Times New Roman" w:cs="Times New Roman"/>
          <w:bCs/>
          <w:sz w:val="24"/>
          <w:szCs w:val="24"/>
        </w:rPr>
        <w:t>тів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значення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мають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аналізі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руд,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металів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сплавів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продуктів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харчування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Тому метою </w:t>
      </w:r>
      <w:proofErr w:type="spellStart"/>
      <w:proofErr w:type="gramStart"/>
      <w:r w:rsidRPr="000857E5">
        <w:rPr>
          <w:rFonts w:ascii="Times New Roman" w:hAnsi="Times New Roman" w:cs="Times New Roman"/>
          <w:bCs/>
          <w:sz w:val="24"/>
          <w:szCs w:val="24"/>
        </w:rPr>
        <w:t>досл</w:t>
      </w:r>
      <w:proofErr w:type="gramEnd"/>
      <w:r w:rsidRPr="000857E5">
        <w:rPr>
          <w:rFonts w:ascii="Times New Roman" w:hAnsi="Times New Roman" w:cs="Times New Roman"/>
          <w:bCs/>
          <w:sz w:val="24"/>
          <w:szCs w:val="24"/>
        </w:rPr>
        <w:t>ідження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застосування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фізи</w:t>
      </w:r>
      <w:r>
        <w:rPr>
          <w:rFonts w:ascii="Times New Roman" w:hAnsi="Times New Roman" w:cs="Times New Roman"/>
          <w:bCs/>
          <w:sz w:val="24"/>
          <w:szCs w:val="24"/>
        </w:rPr>
        <w:t>ко-хімічних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методів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визначення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якості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зубних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паст на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відповідність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нормам ГОСТ 7983-82.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Об’єктом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857E5">
        <w:rPr>
          <w:rFonts w:ascii="Times New Roman" w:hAnsi="Times New Roman" w:cs="Times New Roman"/>
          <w:bCs/>
          <w:sz w:val="24"/>
          <w:szCs w:val="24"/>
        </w:rPr>
        <w:t>досл</w:t>
      </w:r>
      <w:proofErr w:type="gramEnd"/>
      <w:r w:rsidRPr="000857E5">
        <w:rPr>
          <w:rFonts w:ascii="Times New Roman" w:hAnsi="Times New Roman" w:cs="Times New Roman"/>
          <w:bCs/>
          <w:sz w:val="24"/>
          <w:szCs w:val="24"/>
        </w:rPr>
        <w:t>ідження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були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вибрані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пасти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зуб</w:t>
      </w:r>
      <w:r>
        <w:rPr>
          <w:rFonts w:ascii="Times New Roman" w:hAnsi="Times New Roman" w:cs="Times New Roman"/>
          <w:bCs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без фтору, тому,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ними ми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користуємося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кожного дня.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фтору, то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відомо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він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>побігає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карієсу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Проте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варто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зазначити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багато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сполук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фтору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токсичні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>, тому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вмі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зубній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пасті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суворо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обмежений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Оптимальним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proofErr w:type="gramStart"/>
      <w:r w:rsidRPr="000857E5">
        <w:rPr>
          <w:rFonts w:ascii="Times New Roman" w:hAnsi="Times New Roman" w:cs="Times New Roman"/>
          <w:bCs/>
          <w:sz w:val="24"/>
          <w:szCs w:val="24"/>
        </w:rPr>
        <w:t>проф</w:t>
      </w:r>
      <w:proofErr w:type="gramEnd"/>
      <w:r w:rsidRPr="000857E5">
        <w:rPr>
          <w:rFonts w:ascii="Times New Roman" w:hAnsi="Times New Roman" w:cs="Times New Roman"/>
          <w:bCs/>
          <w:sz w:val="24"/>
          <w:szCs w:val="24"/>
        </w:rPr>
        <w:t>ілактики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карієсу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допустимим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побутового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lastRenderedPageBreak/>
        <w:t>використання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вважається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57E5">
        <w:rPr>
          <w:rFonts w:ascii="Times New Roman" w:hAnsi="Times New Roman" w:cs="Times New Roman"/>
          <w:bCs/>
          <w:sz w:val="24"/>
          <w:szCs w:val="24"/>
        </w:rPr>
        <w:t>вміст</w:t>
      </w:r>
      <w:proofErr w:type="spellEnd"/>
      <w:r w:rsidRPr="000857E5">
        <w:rPr>
          <w:rFonts w:ascii="Times New Roman" w:hAnsi="Times New Roman" w:cs="Times New Roman"/>
          <w:bCs/>
          <w:sz w:val="24"/>
          <w:szCs w:val="24"/>
        </w:rPr>
        <w:t xml:space="preserve"> фторидів150 мг/100 г у паст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ах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дорослих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і 50 мг/100 г -</w:t>
      </w:r>
      <w:r w:rsidRPr="0008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0857E5">
        <w:rPr>
          <w:rFonts w:ascii="Times New Roman" w:hAnsi="Times New Roman" w:cs="Times New Roman"/>
          <w:bCs/>
          <w:sz w:val="24"/>
          <w:szCs w:val="24"/>
        </w:rPr>
        <w:t>для дітей.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Об</w:t>
      </w:r>
      <w:r w:rsidRPr="000857E5">
        <w:rPr>
          <w:rFonts w:ascii="Times New Roman" w:hAnsi="Times New Roman" w:cs="Times New Roman"/>
          <w:b/>
          <w:bCs/>
          <w:iCs/>
          <w:sz w:val="24"/>
          <w:szCs w:val="24"/>
        </w:rPr>
        <w:t>’</w:t>
      </w:r>
      <w:proofErr w:type="spellStart"/>
      <w:r w:rsidRPr="000857E5">
        <w:rPr>
          <w:rFonts w:ascii="Times New Roman" w:hAnsi="Times New Roman" w:cs="Times New Roman"/>
          <w:b/>
          <w:bCs/>
          <w:iCs/>
          <w:sz w:val="24"/>
          <w:szCs w:val="24"/>
        </w:rPr>
        <w:t>єкт</w:t>
      </w:r>
      <w:proofErr w:type="spellEnd"/>
      <w:r w:rsidRPr="000857E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дослідження</w:t>
      </w:r>
      <w:r w:rsidRPr="000857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0857E5">
        <w:rPr>
          <w:rFonts w:ascii="Times New Roman" w:hAnsi="Times New Roman" w:cs="Times New Roman"/>
          <w:bCs/>
          <w:sz w:val="24"/>
          <w:szCs w:val="24"/>
          <w:lang w:val="uk-UA"/>
        </w:rPr>
        <w:t>пасти зубні , без фтору</w:t>
      </w:r>
    </w:p>
    <w:p w:rsidR="000857E5" w:rsidRPr="000857E5" w:rsidRDefault="000857E5" w:rsidP="000857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857E5">
        <w:rPr>
          <w:rFonts w:ascii="Times New Roman" w:hAnsi="Times New Roman" w:cs="Times New Roman"/>
          <w:b/>
          <w:sz w:val="24"/>
          <w:szCs w:val="24"/>
          <w:lang w:val="en-US"/>
        </w:rPr>
        <w:t>Denavit</w:t>
      </w:r>
      <w:proofErr w:type="spellEnd"/>
    </w:p>
    <w:p w:rsidR="000857E5" w:rsidRPr="000857E5" w:rsidRDefault="000857E5" w:rsidP="000857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857E5">
        <w:rPr>
          <w:rFonts w:ascii="Times New Roman" w:hAnsi="Times New Roman" w:cs="Times New Roman"/>
          <w:b/>
          <w:sz w:val="24"/>
          <w:szCs w:val="24"/>
          <w:lang w:val="en-US"/>
        </w:rPr>
        <w:t>Paradontax</w:t>
      </w:r>
      <w:proofErr w:type="spellEnd"/>
    </w:p>
    <w:p w:rsidR="000857E5" w:rsidRPr="000857E5" w:rsidRDefault="000857E5" w:rsidP="000857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bCs/>
          <w:sz w:val="24"/>
          <w:szCs w:val="24"/>
        </w:rPr>
        <w:t>Новый жемчуг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Якість зубних паст </w:t>
      </w:r>
      <w:r w:rsidRPr="000857E5">
        <w:rPr>
          <w:rFonts w:ascii="Times New Roman" w:hAnsi="Times New Roman" w:cs="Times New Roman"/>
          <w:bCs/>
          <w:sz w:val="24"/>
          <w:szCs w:val="24"/>
          <w:lang w:val="uk-UA"/>
        </w:rPr>
        <w:t>визначали за такими</w:t>
      </w:r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 за фізико-хімічними показниками</w:t>
      </w:r>
      <w:r w:rsidRPr="000857E5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7E5" w:rsidRPr="000857E5" w:rsidRDefault="000857E5" w:rsidP="00085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Водневий показник </w:t>
      </w:r>
      <w:proofErr w:type="spellStart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рН</w:t>
      </w:r>
      <w:proofErr w:type="spellEnd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, згідно</w:t>
      </w:r>
      <w:r w:rsidRPr="000857E5">
        <w:rPr>
          <w:rFonts w:ascii="Times New Roman" w:hAnsi="Times New Roman" w:cs="Times New Roman"/>
          <w:b/>
          <w:sz w:val="24"/>
          <w:szCs w:val="24"/>
        </w:rPr>
        <w:t xml:space="preserve"> ГОСТ 7983-82</w:t>
      </w:r>
    </w:p>
    <w:p w:rsidR="000857E5" w:rsidRPr="000857E5" w:rsidRDefault="000857E5" w:rsidP="00085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Піноутворення</w:t>
      </w:r>
      <w:proofErr w:type="spellEnd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, згідно</w:t>
      </w:r>
      <w:r w:rsidRPr="000857E5">
        <w:rPr>
          <w:rFonts w:ascii="Times New Roman" w:hAnsi="Times New Roman" w:cs="Times New Roman"/>
          <w:b/>
          <w:sz w:val="24"/>
          <w:szCs w:val="24"/>
        </w:rPr>
        <w:t xml:space="preserve"> ГОСТ 7983-82</w:t>
      </w:r>
    </w:p>
    <w:p w:rsidR="000857E5" w:rsidRPr="000857E5" w:rsidRDefault="000857E5" w:rsidP="00085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Масова часка карбонатів кальцію та магнію, згідно</w:t>
      </w:r>
      <w:r w:rsidRPr="000857E5">
        <w:rPr>
          <w:rFonts w:ascii="Times New Roman" w:hAnsi="Times New Roman" w:cs="Times New Roman"/>
          <w:b/>
          <w:sz w:val="24"/>
          <w:szCs w:val="24"/>
        </w:rPr>
        <w:t xml:space="preserve"> ГОСТ 7983-82</w:t>
      </w:r>
    </w:p>
    <w:p w:rsidR="000857E5" w:rsidRPr="000857E5" w:rsidRDefault="000857E5" w:rsidP="00085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Масова часка </w:t>
      </w:r>
      <w:proofErr w:type="spellStart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фторидів</w:t>
      </w:r>
      <w:proofErr w:type="spellEnd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розрахунку на молярну масу, згідно</w:t>
      </w:r>
      <w:r w:rsidRPr="000857E5">
        <w:rPr>
          <w:rFonts w:ascii="Times New Roman" w:hAnsi="Times New Roman" w:cs="Times New Roman"/>
          <w:b/>
          <w:sz w:val="24"/>
          <w:szCs w:val="24"/>
        </w:rPr>
        <w:t xml:space="preserve"> ГОСТ 7983-82 </w:t>
      </w: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857E5" w:rsidRPr="000857E5" w:rsidRDefault="000857E5" w:rsidP="00085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Маса </w:t>
      </w:r>
      <w:proofErr w:type="spellStart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фторидів</w:t>
      </w:r>
      <w:proofErr w:type="spellEnd"/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одиниці упаковки, згідно</w:t>
      </w:r>
      <w:r w:rsidRPr="000857E5">
        <w:rPr>
          <w:rFonts w:ascii="Times New Roman" w:hAnsi="Times New Roman" w:cs="Times New Roman"/>
          <w:b/>
          <w:sz w:val="24"/>
          <w:szCs w:val="24"/>
        </w:rPr>
        <w:t xml:space="preserve"> ГОСТ 7983-82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Результати досліджень</w:t>
      </w:r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представлені в таблиці 1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Фізико-хімічні показники паст зубних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7E5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1080"/>
        <w:gridCol w:w="1260"/>
        <w:gridCol w:w="935"/>
      </w:tblGrid>
      <w:tr w:rsidR="000857E5" w:rsidRPr="000857E5" w:rsidTr="00D40EE7">
        <w:trPr>
          <w:trHeight w:val="825"/>
        </w:trPr>
        <w:tc>
          <w:tcPr>
            <w:tcW w:w="2268" w:type="dxa"/>
            <w:vMerge w:val="restart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Фізико-хімічні показники</w:t>
            </w:r>
          </w:p>
        </w:tc>
        <w:tc>
          <w:tcPr>
            <w:tcW w:w="1080" w:type="dxa"/>
            <w:vMerge w:val="restart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Норма</w:t>
            </w: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ГОСТ</w:t>
            </w:r>
          </w:p>
        </w:tc>
        <w:tc>
          <w:tcPr>
            <w:tcW w:w="3275" w:type="dxa"/>
            <w:gridSpan w:val="3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857E5">
              <w:rPr>
                <w:b/>
                <w:bCs/>
                <w:sz w:val="24"/>
                <w:szCs w:val="24"/>
                <w:lang w:val="uk-UA"/>
              </w:rPr>
              <w:t>Назва зразків</w:t>
            </w:r>
          </w:p>
        </w:tc>
      </w:tr>
      <w:tr w:rsidR="000857E5" w:rsidRPr="000857E5" w:rsidTr="00D40EE7">
        <w:trPr>
          <w:trHeight w:val="738"/>
        </w:trPr>
        <w:tc>
          <w:tcPr>
            <w:tcW w:w="2268" w:type="dxa"/>
            <w:vMerge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Merge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857E5">
              <w:rPr>
                <w:b/>
                <w:sz w:val="24"/>
                <w:szCs w:val="24"/>
                <w:lang w:val="en-US"/>
              </w:rPr>
              <w:t>Denavit</w:t>
            </w:r>
            <w:proofErr w:type="spellEnd"/>
          </w:p>
        </w:tc>
        <w:tc>
          <w:tcPr>
            <w:tcW w:w="126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857E5">
              <w:rPr>
                <w:b/>
                <w:sz w:val="24"/>
                <w:szCs w:val="24"/>
                <w:lang w:val="en-US"/>
              </w:rPr>
              <w:t>Paradon</w:t>
            </w:r>
            <w:proofErr w:type="spellEnd"/>
            <w:r w:rsidRPr="000857E5">
              <w:rPr>
                <w:b/>
                <w:sz w:val="24"/>
                <w:szCs w:val="24"/>
                <w:lang w:val="uk-UA"/>
              </w:rPr>
              <w:t>-</w:t>
            </w:r>
            <w:r w:rsidRPr="000857E5">
              <w:rPr>
                <w:b/>
                <w:sz w:val="24"/>
                <w:szCs w:val="24"/>
                <w:lang w:val="en-US"/>
              </w:rPr>
              <w:t>tax</w:t>
            </w: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857E5">
              <w:rPr>
                <w:b/>
                <w:bCs/>
                <w:sz w:val="24"/>
                <w:szCs w:val="24"/>
                <w:lang w:val="en-US"/>
              </w:rPr>
              <w:t>Новый</w:t>
            </w:r>
            <w:proofErr w:type="spellEnd"/>
            <w:r w:rsidRPr="000857E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7E5">
              <w:rPr>
                <w:b/>
                <w:bCs/>
                <w:sz w:val="24"/>
                <w:szCs w:val="24"/>
                <w:lang w:val="en-US"/>
              </w:rPr>
              <w:t>жем</w:t>
            </w:r>
            <w:proofErr w:type="spellEnd"/>
            <w:r w:rsidRPr="000857E5">
              <w:rPr>
                <w:b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0857E5">
              <w:rPr>
                <w:b/>
                <w:bCs/>
                <w:sz w:val="24"/>
                <w:szCs w:val="24"/>
                <w:lang w:val="en-US"/>
              </w:rPr>
              <w:t>чуг</w:t>
            </w:r>
            <w:proofErr w:type="spellEnd"/>
          </w:p>
        </w:tc>
      </w:tr>
      <w:tr w:rsidR="000857E5" w:rsidRPr="000857E5" w:rsidTr="00D40EE7">
        <w:trPr>
          <w:trHeight w:val="355"/>
        </w:trPr>
        <w:tc>
          <w:tcPr>
            <w:tcW w:w="2268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 xml:space="preserve">Водневий показник </w:t>
            </w:r>
            <w:proofErr w:type="spellStart"/>
            <w:r w:rsidRPr="000857E5">
              <w:rPr>
                <w:b/>
                <w:sz w:val="24"/>
                <w:szCs w:val="24"/>
                <w:lang w:val="uk-UA"/>
              </w:rPr>
              <w:t>рН</w:t>
            </w:r>
            <w:proofErr w:type="spellEnd"/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</w:rPr>
              <w:t>7,0-10,3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8,6</w:t>
            </w:r>
          </w:p>
        </w:tc>
        <w:tc>
          <w:tcPr>
            <w:tcW w:w="126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7,32</w:t>
            </w:r>
          </w:p>
        </w:tc>
        <w:tc>
          <w:tcPr>
            <w:tcW w:w="935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8,13</w:t>
            </w:r>
          </w:p>
        </w:tc>
      </w:tr>
      <w:tr w:rsidR="000857E5" w:rsidRPr="000857E5" w:rsidTr="00D40EE7">
        <w:trPr>
          <w:trHeight w:val="377"/>
        </w:trPr>
        <w:tc>
          <w:tcPr>
            <w:tcW w:w="2268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857E5">
              <w:rPr>
                <w:b/>
                <w:sz w:val="24"/>
                <w:szCs w:val="24"/>
                <w:lang w:val="uk-UA"/>
              </w:rPr>
              <w:t>Піноутворення</w:t>
            </w:r>
            <w:proofErr w:type="spellEnd"/>
            <w:r w:rsidRPr="000857E5">
              <w:rPr>
                <w:b/>
                <w:sz w:val="24"/>
                <w:szCs w:val="24"/>
                <w:lang w:val="uk-UA"/>
              </w:rPr>
              <w:t>, мм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10-15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14,05</w:t>
            </w:r>
          </w:p>
        </w:tc>
        <w:tc>
          <w:tcPr>
            <w:tcW w:w="126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10,95</w:t>
            </w:r>
          </w:p>
        </w:tc>
        <w:tc>
          <w:tcPr>
            <w:tcW w:w="935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12</w:t>
            </w:r>
          </w:p>
        </w:tc>
      </w:tr>
      <w:tr w:rsidR="000857E5" w:rsidRPr="000857E5" w:rsidTr="00D40EE7">
        <w:trPr>
          <w:trHeight w:val="355"/>
        </w:trPr>
        <w:tc>
          <w:tcPr>
            <w:tcW w:w="2268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lastRenderedPageBreak/>
              <w:t xml:space="preserve">Масова часка </w:t>
            </w: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0857E5">
              <w:rPr>
                <w:b/>
                <w:sz w:val="24"/>
                <w:szCs w:val="24"/>
                <w:lang w:val="en-US"/>
              </w:rPr>
              <w:t>CaCO</w:t>
            </w:r>
            <w:proofErr w:type="spellEnd"/>
            <w:r w:rsidRPr="000857E5">
              <w:rPr>
                <w:b/>
                <w:sz w:val="24"/>
                <w:szCs w:val="24"/>
                <w:vertAlign w:val="subscript"/>
              </w:rPr>
              <w:t>3</w:t>
            </w:r>
            <w:r w:rsidRPr="000857E5">
              <w:rPr>
                <w:b/>
                <w:sz w:val="24"/>
                <w:szCs w:val="24"/>
              </w:rPr>
              <w:t xml:space="preserve"> </w:t>
            </w:r>
            <w:r w:rsidRPr="000857E5">
              <w:rPr>
                <w:b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0857E5">
              <w:rPr>
                <w:b/>
                <w:sz w:val="24"/>
                <w:szCs w:val="24"/>
                <w:lang w:val="en-US"/>
              </w:rPr>
              <w:t>MgCO</w:t>
            </w:r>
            <w:proofErr w:type="spellEnd"/>
            <w:r w:rsidRPr="000857E5">
              <w:rPr>
                <w:b/>
                <w:sz w:val="24"/>
                <w:szCs w:val="24"/>
                <w:vertAlign w:val="subscript"/>
              </w:rPr>
              <w:t>3</w:t>
            </w:r>
            <w:r w:rsidRPr="000857E5">
              <w:rPr>
                <w:b/>
                <w:sz w:val="24"/>
                <w:szCs w:val="24"/>
                <w:vertAlign w:val="subscript"/>
                <w:lang w:val="uk-UA"/>
              </w:rPr>
              <w:t xml:space="preserve">, </w:t>
            </w:r>
            <w:r w:rsidRPr="000857E5">
              <w:rPr>
                <w:b/>
                <w:sz w:val="24"/>
                <w:szCs w:val="24"/>
                <w:lang w:val="uk-UA"/>
              </w:rPr>
              <w:t>, %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 xml:space="preserve">Всього </w:t>
            </w:r>
            <w:proofErr w:type="spellStart"/>
            <w:r w:rsidRPr="000857E5">
              <w:rPr>
                <w:b/>
                <w:sz w:val="24"/>
                <w:szCs w:val="24"/>
                <w:lang w:val="uk-UA"/>
              </w:rPr>
              <w:t>абрази-вів</w:t>
            </w:r>
            <w:proofErr w:type="spellEnd"/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20-30 %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2,02</w:t>
            </w:r>
          </w:p>
        </w:tc>
        <w:tc>
          <w:tcPr>
            <w:tcW w:w="126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3,95</w:t>
            </w:r>
          </w:p>
        </w:tc>
        <w:tc>
          <w:tcPr>
            <w:tcW w:w="935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4,75</w:t>
            </w:r>
          </w:p>
        </w:tc>
      </w:tr>
      <w:tr w:rsidR="000857E5" w:rsidRPr="000857E5" w:rsidTr="00D40EE7">
        <w:trPr>
          <w:trHeight w:val="377"/>
        </w:trPr>
        <w:tc>
          <w:tcPr>
            <w:tcW w:w="2268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 xml:space="preserve">Масова часка </w:t>
            </w: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857E5">
              <w:rPr>
                <w:b/>
                <w:sz w:val="24"/>
                <w:szCs w:val="24"/>
                <w:lang w:val="uk-UA"/>
              </w:rPr>
              <w:t>фторидів</w:t>
            </w:r>
            <w:proofErr w:type="spellEnd"/>
            <w:r w:rsidRPr="000857E5">
              <w:rPr>
                <w:b/>
                <w:sz w:val="24"/>
                <w:szCs w:val="24"/>
                <w:lang w:val="uk-UA"/>
              </w:rPr>
              <w:t>, з розрахунку на молярну масу, %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0,05-0,15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0,012</w:t>
            </w:r>
          </w:p>
        </w:tc>
        <w:tc>
          <w:tcPr>
            <w:tcW w:w="126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0,0195</w:t>
            </w:r>
          </w:p>
        </w:tc>
        <w:tc>
          <w:tcPr>
            <w:tcW w:w="935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0,017</w:t>
            </w:r>
          </w:p>
        </w:tc>
      </w:tr>
      <w:tr w:rsidR="000857E5" w:rsidRPr="000857E5" w:rsidTr="00D40EE7">
        <w:trPr>
          <w:trHeight w:val="377"/>
        </w:trPr>
        <w:tc>
          <w:tcPr>
            <w:tcW w:w="2268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 xml:space="preserve">Маса </w:t>
            </w:r>
            <w:proofErr w:type="spellStart"/>
            <w:r w:rsidRPr="000857E5">
              <w:rPr>
                <w:b/>
                <w:sz w:val="24"/>
                <w:szCs w:val="24"/>
                <w:lang w:val="uk-UA"/>
              </w:rPr>
              <w:t>фторидів</w:t>
            </w:r>
            <w:proofErr w:type="spellEnd"/>
            <w:r w:rsidRPr="000857E5">
              <w:rPr>
                <w:b/>
                <w:sz w:val="24"/>
                <w:szCs w:val="24"/>
                <w:lang w:val="uk-UA"/>
              </w:rPr>
              <w:t xml:space="preserve"> в одиниці упаковки, мг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Не більше 300</w:t>
            </w:r>
          </w:p>
        </w:tc>
        <w:tc>
          <w:tcPr>
            <w:tcW w:w="108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1,92</w:t>
            </w:r>
          </w:p>
        </w:tc>
        <w:tc>
          <w:tcPr>
            <w:tcW w:w="1260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1,99</w:t>
            </w:r>
          </w:p>
        </w:tc>
        <w:tc>
          <w:tcPr>
            <w:tcW w:w="935" w:type="dxa"/>
          </w:tcPr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0857E5" w:rsidRPr="000857E5" w:rsidRDefault="000857E5" w:rsidP="000857E5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0857E5">
              <w:rPr>
                <w:b/>
                <w:sz w:val="24"/>
                <w:szCs w:val="24"/>
                <w:lang w:val="uk-UA"/>
              </w:rPr>
              <w:t>1,59</w:t>
            </w:r>
          </w:p>
        </w:tc>
      </w:tr>
    </w:tbl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Висновки:</w:t>
      </w:r>
    </w:p>
    <w:p w:rsidR="000857E5" w:rsidRPr="000857E5" w:rsidRDefault="000857E5" w:rsidP="000857E5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Всі зразки мають занижений вміст карбонатів кальцію і магнію, що може свідчити про використання інших абразивних матеріалів (нерозчинні </w:t>
      </w:r>
      <w:proofErr w:type="spellStart"/>
      <w:r w:rsidRPr="000857E5">
        <w:rPr>
          <w:rFonts w:ascii="Times New Roman" w:hAnsi="Times New Roman" w:cs="Times New Roman"/>
          <w:sz w:val="24"/>
          <w:szCs w:val="24"/>
          <w:lang w:val="uk-UA"/>
        </w:rPr>
        <w:t>метафосфати</w:t>
      </w:r>
      <w:proofErr w:type="spellEnd"/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 натрію, гідроокис алюмінію, бентоніти, цеоліти, двоокис кремнію, кремнієва кислота, каолін, силікат цирконію, полімерні сполуки метилметакрилату).</w:t>
      </w:r>
    </w:p>
    <w:p w:rsidR="000857E5" w:rsidRPr="000857E5" w:rsidRDefault="000857E5" w:rsidP="000857E5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Всі зразки мають також занижений вміст </w:t>
      </w:r>
      <w:proofErr w:type="spellStart"/>
      <w:r w:rsidRPr="000857E5">
        <w:rPr>
          <w:rFonts w:ascii="Times New Roman" w:hAnsi="Times New Roman" w:cs="Times New Roman"/>
          <w:sz w:val="24"/>
          <w:szCs w:val="24"/>
          <w:lang w:val="uk-UA"/>
        </w:rPr>
        <w:t>фторидів</w:t>
      </w:r>
      <w:proofErr w:type="spellEnd"/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. Такі зубні пасти можна рекомендувати для використання на територіях біогеохімічних провінцій з підвищеним вмістом </w:t>
      </w:r>
      <w:proofErr w:type="spellStart"/>
      <w:r w:rsidRPr="000857E5">
        <w:rPr>
          <w:rFonts w:ascii="Times New Roman" w:hAnsi="Times New Roman" w:cs="Times New Roman"/>
          <w:sz w:val="24"/>
          <w:szCs w:val="24"/>
          <w:lang w:val="uk-UA"/>
        </w:rPr>
        <w:t>фторидів</w:t>
      </w:r>
      <w:proofErr w:type="spellEnd"/>
      <w:r w:rsidRPr="000857E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57E5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57E5" w:rsidRPr="000857E5" w:rsidRDefault="000857E5" w:rsidP="0008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7E5">
        <w:rPr>
          <w:rFonts w:ascii="Times New Roman" w:hAnsi="Times New Roman" w:cs="Times New Roman"/>
          <w:sz w:val="24"/>
          <w:szCs w:val="24"/>
        </w:rPr>
        <w:t>ГОСТ 7983-82 "Пасты зубные. Общие технические требования "</w:t>
      </w:r>
    </w:p>
    <w:p w:rsidR="000D411A" w:rsidRPr="000857E5" w:rsidRDefault="000D411A" w:rsidP="0008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411A" w:rsidRPr="000857E5" w:rsidSect="00AC2349">
      <w:pgSz w:w="8392" w:h="11907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6E6"/>
    <w:multiLevelType w:val="hybridMultilevel"/>
    <w:tmpl w:val="96689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E3335"/>
    <w:multiLevelType w:val="hybridMultilevel"/>
    <w:tmpl w:val="75E68F1E"/>
    <w:lvl w:ilvl="0" w:tplc="D428A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77632"/>
    <w:multiLevelType w:val="hybridMultilevel"/>
    <w:tmpl w:val="3B3AA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7"/>
    <w:rsid w:val="000857E5"/>
    <w:rsid w:val="000D411A"/>
    <w:rsid w:val="00496A2F"/>
    <w:rsid w:val="009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2016-05-22T13:30:00Z</dcterms:created>
  <dcterms:modified xsi:type="dcterms:W3CDTF">2016-05-22T14:11:00Z</dcterms:modified>
</cp:coreProperties>
</file>