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83" w:rsidRPr="00046EF6" w:rsidRDefault="00C91083" w:rsidP="008107B2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Зима Г. І.</w:t>
      </w:r>
    </w:p>
    <w:p w:rsidR="00C91083" w:rsidRPr="00046EF6" w:rsidRDefault="00C91083" w:rsidP="008107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Самбурська Н. І.</w:t>
      </w:r>
    </w:p>
    <w:p w:rsidR="00C91083" w:rsidRPr="00046EF6" w:rsidRDefault="00C91083" w:rsidP="008107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ВНЗ УКС «ПУЕТ», м. Полтава</w:t>
      </w:r>
    </w:p>
    <w:p w:rsidR="00C91083" w:rsidRPr="00046EF6" w:rsidRDefault="00C91083" w:rsidP="00502D88">
      <w:pPr>
        <w:spacing w:after="0" w:line="240" w:lineRule="auto"/>
        <w:rPr>
          <w:rFonts w:ascii="Times New Roman" w:hAnsi="Times New Roman" w:cs="Times New Roman"/>
        </w:rPr>
      </w:pPr>
    </w:p>
    <w:p w:rsidR="00C91083" w:rsidRPr="00046EF6" w:rsidRDefault="00C91083" w:rsidP="008107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ПРОБЛЕМИ </w:t>
      </w:r>
      <w:r w:rsidRPr="00046EF6">
        <w:rPr>
          <w:rFonts w:ascii="Times New Roman" w:hAnsi="Times New Roman" w:cs="Times New Roman"/>
        </w:rPr>
        <w:t>КАЛЬКУЛЮВАННЯ СОБІВАРТОСТІ ГОТЕЛЬНИХ ПОСЛУГ</w:t>
      </w:r>
    </w:p>
    <w:p w:rsidR="00C91083" w:rsidRPr="00046EF6" w:rsidRDefault="00C91083" w:rsidP="008107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083" w:rsidRPr="00046EF6" w:rsidRDefault="00C91083" w:rsidP="00B178F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В умовах сучасних інтеграційних процесів, які відбуваються в Україні</w:t>
      </w:r>
      <w:r>
        <w:rPr>
          <w:rFonts w:ascii="Times New Roman" w:hAnsi="Times New Roman" w:cs="Times New Roman"/>
        </w:rPr>
        <w:t xml:space="preserve"> і світі</w:t>
      </w:r>
      <w:r w:rsidRPr="00046EF6">
        <w:rPr>
          <w:rFonts w:ascii="Times New Roman" w:hAnsi="Times New Roman" w:cs="Times New Roman"/>
        </w:rPr>
        <w:t>, підприємства готельного господарства мають широкі перспективи</w:t>
      </w:r>
      <w:r w:rsidRPr="001C1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р</w:t>
      </w:r>
      <w:r w:rsidRPr="001C18F7">
        <w:rPr>
          <w:rFonts w:ascii="Times New Roman" w:hAnsi="Times New Roman" w:cs="Times New Roman"/>
        </w:rPr>
        <w:t>озвитку</w:t>
      </w:r>
      <w:r>
        <w:rPr>
          <w:rFonts w:ascii="Times New Roman" w:hAnsi="Times New Roman" w:cs="Times New Roman"/>
        </w:rPr>
        <w:t xml:space="preserve">, які  залежать  від стану готельного господарства, якості і ціни основних і додаткових послуг. Ефективна діяльність готелів </w:t>
      </w:r>
      <w:r w:rsidRPr="00046EF6">
        <w:rPr>
          <w:rFonts w:ascii="Times New Roman" w:hAnsi="Times New Roman" w:cs="Times New Roman"/>
        </w:rPr>
        <w:t xml:space="preserve"> неможлив</w:t>
      </w:r>
      <w:r>
        <w:rPr>
          <w:rFonts w:ascii="Times New Roman" w:hAnsi="Times New Roman" w:cs="Times New Roman"/>
        </w:rPr>
        <w:t>а</w:t>
      </w:r>
      <w:r w:rsidRPr="00046EF6">
        <w:rPr>
          <w:rFonts w:ascii="Times New Roman" w:hAnsi="Times New Roman" w:cs="Times New Roman"/>
        </w:rPr>
        <w:t xml:space="preserve"> без раціонально налагодженого обліку витрат та калькулювання собівартості.</w:t>
      </w:r>
    </w:p>
    <w:p w:rsidR="00C91083" w:rsidRPr="00046EF6" w:rsidRDefault="00C91083" w:rsidP="008107B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 xml:space="preserve">Для забезпечення </w:t>
      </w:r>
      <w:r>
        <w:rPr>
          <w:rFonts w:ascii="Times New Roman" w:hAnsi="Times New Roman" w:cs="Times New Roman"/>
        </w:rPr>
        <w:t xml:space="preserve">калькулювання </w:t>
      </w:r>
      <w:r w:rsidRPr="00046EF6">
        <w:rPr>
          <w:rFonts w:ascii="Times New Roman" w:hAnsi="Times New Roman" w:cs="Times New Roman"/>
        </w:rPr>
        <w:t xml:space="preserve">необхідно дотримуватись </w:t>
      </w:r>
      <w:r>
        <w:rPr>
          <w:rFonts w:ascii="Times New Roman" w:hAnsi="Times New Roman" w:cs="Times New Roman"/>
        </w:rPr>
        <w:t>певної послідовності</w:t>
      </w:r>
      <w:r w:rsidRPr="00046EF6">
        <w:rPr>
          <w:rFonts w:ascii="Times New Roman" w:hAnsi="Times New Roman" w:cs="Times New Roman"/>
        </w:rPr>
        <w:t xml:space="preserve">: 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обґрунтува</w:t>
      </w:r>
      <w:r>
        <w:rPr>
          <w:rFonts w:ascii="Times New Roman" w:hAnsi="Times New Roman" w:cs="Times New Roman"/>
        </w:rPr>
        <w:t>ти</w:t>
      </w:r>
      <w:r w:rsidRPr="00046EF6">
        <w:rPr>
          <w:rFonts w:ascii="Times New Roman" w:hAnsi="Times New Roman" w:cs="Times New Roman"/>
        </w:rPr>
        <w:t xml:space="preserve"> класифікаці</w:t>
      </w:r>
      <w:r>
        <w:rPr>
          <w:rFonts w:ascii="Times New Roman" w:hAnsi="Times New Roman" w:cs="Times New Roman"/>
        </w:rPr>
        <w:t>ю</w:t>
      </w:r>
      <w:r w:rsidRPr="00046EF6">
        <w:rPr>
          <w:rFonts w:ascii="Times New Roman" w:hAnsi="Times New Roman" w:cs="Times New Roman"/>
        </w:rPr>
        <w:t xml:space="preserve"> витрат з урахуванням особливостей господарської діяльності підприємств готельного бізнесу;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виокрем</w:t>
      </w:r>
      <w:r>
        <w:rPr>
          <w:rFonts w:ascii="Times New Roman" w:hAnsi="Times New Roman" w:cs="Times New Roman"/>
        </w:rPr>
        <w:t>ити</w:t>
      </w:r>
      <w:r w:rsidRPr="00046EF6">
        <w:rPr>
          <w:rFonts w:ascii="Times New Roman" w:hAnsi="Times New Roman" w:cs="Times New Roman"/>
        </w:rPr>
        <w:t xml:space="preserve"> калькуляційн</w:t>
      </w:r>
      <w:r>
        <w:rPr>
          <w:rFonts w:ascii="Times New Roman" w:hAnsi="Times New Roman" w:cs="Times New Roman"/>
        </w:rPr>
        <w:t>і</w:t>
      </w:r>
      <w:r w:rsidRPr="00046EF6">
        <w:rPr>
          <w:rFonts w:ascii="Times New Roman" w:hAnsi="Times New Roman" w:cs="Times New Roman"/>
        </w:rPr>
        <w:t xml:space="preserve"> одиниц</w:t>
      </w:r>
      <w:r>
        <w:rPr>
          <w:rFonts w:ascii="Times New Roman" w:hAnsi="Times New Roman" w:cs="Times New Roman"/>
        </w:rPr>
        <w:t>і</w:t>
      </w:r>
      <w:r w:rsidRPr="00046EF6">
        <w:rPr>
          <w:rFonts w:ascii="Times New Roman" w:hAnsi="Times New Roman" w:cs="Times New Roman"/>
        </w:rPr>
        <w:t>;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ви</w:t>
      </w:r>
      <w:r>
        <w:rPr>
          <w:rFonts w:ascii="Times New Roman" w:hAnsi="Times New Roman" w:cs="Times New Roman"/>
        </w:rPr>
        <w:t>значити  метод</w:t>
      </w:r>
      <w:r w:rsidRPr="00046EF6">
        <w:rPr>
          <w:rFonts w:ascii="Times New Roman" w:hAnsi="Times New Roman" w:cs="Times New Roman"/>
        </w:rPr>
        <w:t xml:space="preserve"> калькулювання;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виб</w:t>
      </w:r>
      <w:r>
        <w:rPr>
          <w:rFonts w:ascii="Times New Roman" w:hAnsi="Times New Roman" w:cs="Times New Roman"/>
        </w:rPr>
        <w:t>рати</w:t>
      </w:r>
      <w:r w:rsidRPr="00046EF6">
        <w:rPr>
          <w:rFonts w:ascii="Times New Roman" w:hAnsi="Times New Roman" w:cs="Times New Roman"/>
        </w:rPr>
        <w:t xml:space="preserve"> баз</w:t>
      </w:r>
      <w:r>
        <w:rPr>
          <w:rFonts w:ascii="Times New Roman" w:hAnsi="Times New Roman" w:cs="Times New Roman"/>
        </w:rPr>
        <w:t>у</w:t>
      </w:r>
      <w:r w:rsidRPr="00046EF6">
        <w:rPr>
          <w:rFonts w:ascii="Times New Roman" w:hAnsi="Times New Roman" w:cs="Times New Roman"/>
        </w:rPr>
        <w:t xml:space="preserve"> розподілу загальновиробничих витрат;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розрахунок собівартості калькуляційної одиниці.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цьому необхідно врахувати, що п</w:t>
      </w:r>
      <w:r w:rsidRPr="00046EF6">
        <w:rPr>
          <w:rFonts w:ascii="Times New Roman" w:hAnsi="Times New Roman" w:cs="Times New Roman"/>
        </w:rPr>
        <w:t>ідприємства готельного господарства  мають свої особливості, що впливають на облік витрат та калькулювання собівартості</w:t>
      </w:r>
      <w:r>
        <w:rPr>
          <w:rFonts w:ascii="Times New Roman" w:hAnsi="Times New Roman" w:cs="Times New Roman"/>
        </w:rPr>
        <w:t>, головними з яких є</w:t>
      </w:r>
      <w:r w:rsidRPr="00046EF6">
        <w:rPr>
          <w:rFonts w:ascii="Times New Roman" w:hAnsi="Times New Roman" w:cs="Times New Roman"/>
        </w:rPr>
        <w:t>: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вимоги до оснащення готелів відповідно до їх категорії (залежно від «зірковості»);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вимоги до персоналу (спецодяг, знання мов тощо);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поєднання процесів виробництва, надання і споживання основних і додаткових послуг;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 xml:space="preserve"> нерівномірність споживання готельних послуг, їх сезонний характер;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 xml:space="preserve">неможливість накопичення чи зберігання готельних послуг; 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процес обслуговування обмежений у часі;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цілодобовий режим роботи;</w:t>
      </w:r>
    </w:p>
    <w:p w:rsidR="00C91083" w:rsidRPr="00046EF6" w:rsidRDefault="00C91083" w:rsidP="00502D88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-</w:t>
      </w:r>
      <w:r w:rsidRPr="00046EF6">
        <w:rPr>
          <w:rFonts w:ascii="Times New Roman" w:hAnsi="Times New Roman" w:cs="Times New Roman"/>
        </w:rPr>
        <w:tab/>
        <w:t>спеціалізація готелю.</w:t>
      </w:r>
    </w:p>
    <w:p w:rsidR="00C91083" w:rsidRPr="00046EF6" w:rsidRDefault="00C91083" w:rsidP="008107B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Крім того, необхідно враховувати наявність відокремлених підрозділів</w:t>
      </w:r>
      <w:r w:rsidRPr="00046EF6">
        <w:t xml:space="preserve"> </w:t>
      </w:r>
      <w:r w:rsidRPr="00046EF6">
        <w:rPr>
          <w:rFonts w:ascii="Times New Roman" w:hAnsi="Times New Roman" w:cs="Times New Roman"/>
        </w:rPr>
        <w:t xml:space="preserve">а саме: готель, ресторан, пральня, транспортний відділ, магазин тощо), високу питому вагу амортизаційних відрахувань та низьку питому вагу заробітної плати у складі собівартості готельних послуг. </w:t>
      </w:r>
    </w:p>
    <w:p w:rsidR="00C91083" w:rsidRPr="00046EF6" w:rsidRDefault="00C91083" w:rsidP="008107B2">
      <w:pPr>
        <w:spacing w:after="0" w:line="240" w:lineRule="auto"/>
        <w:ind w:firstLine="284"/>
        <w:jc w:val="both"/>
      </w:pPr>
      <w:r w:rsidRPr="00046EF6">
        <w:rPr>
          <w:rFonts w:ascii="Times New Roman" w:hAnsi="Times New Roman" w:cs="Times New Roman"/>
        </w:rPr>
        <w:t>Всі витрати  готелю, які відносять до номерного фонду доцільно поділяти на: матеріальні, витрати на оплату праці, витрати на соціальні заходи, амортизація, витрати на ресурсозабезпечення, витрати на утримання та експлуатацію виробничого обладнання, витрати на ремонт основних засобів, витрати на підготовку до осінньо-зимового періоду; витрати на проведення протипожежних заходів; інші виробничі витрати, збори та інші обов’язкові платежі, що входять до собівартості послуг</w:t>
      </w:r>
      <w:r w:rsidRPr="00502D88">
        <w:rPr>
          <w:rFonts w:ascii="Times New Roman" w:hAnsi="Times New Roman" w:cs="Times New Roman"/>
        </w:rPr>
        <w:t>. При цьому необхідно передбачити виокремлення прямих витрат для калькулювання виробничої собівартості. Для цього необхідно визначити клас рахунків для обліку таких витрат. Крім того,</w:t>
      </w:r>
      <w:r w:rsidRPr="00B178F2">
        <w:rPr>
          <w:rFonts w:ascii="Times New Roman" w:hAnsi="Times New Roman" w:cs="Times New Roman"/>
        </w:rPr>
        <w:t xml:space="preserve"> необхідно розробити робочий план рахунків з урахуванням</w:t>
      </w:r>
      <w:r w:rsidRPr="00046EF6">
        <w:rPr>
          <w:rFonts w:ascii="Times New Roman" w:hAnsi="Times New Roman" w:cs="Times New Roman"/>
        </w:rPr>
        <w:t xml:space="preserve"> вищеперерахованих особливостей</w:t>
      </w:r>
      <w:r>
        <w:rPr>
          <w:rFonts w:ascii="Times New Roman" w:hAnsi="Times New Roman" w:cs="Times New Roman"/>
        </w:rPr>
        <w:t xml:space="preserve"> господарської діяльності готелів</w:t>
      </w:r>
      <w:r w:rsidRPr="00046EF6">
        <w:rPr>
          <w:rFonts w:ascii="Times New Roman" w:hAnsi="Times New Roman" w:cs="Times New Roman"/>
        </w:rPr>
        <w:t>.</w:t>
      </w:r>
    </w:p>
    <w:p w:rsidR="00C91083" w:rsidRPr="00046EF6" w:rsidRDefault="00C91083" w:rsidP="008107B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Зважаючи на необхідність визначення собівартості наданих готельних  послуг  є потреба в обґрунтованому виборі об’єкта калькулювання. Такими об’єктами, на нашу думку, є окремі види готельних послуг – вид робіт, послуг або вид діяльності .</w:t>
      </w:r>
      <w:r w:rsidRPr="00046EF6">
        <w:t xml:space="preserve"> </w:t>
      </w:r>
      <w:r w:rsidRPr="00046EF6">
        <w:rPr>
          <w:rFonts w:ascii="Times New Roman" w:hAnsi="Times New Roman" w:cs="Times New Roman"/>
        </w:rPr>
        <w:t>Калькуляційною одиницею відповідно необхідно визнавати людино-добу.</w:t>
      </w:r>
    </w:p>
    <w:p w:rsidR="00C91083" w:rsidRPr="00046EF6" w:rsidRDefault="00C91083" w:rsidP="008107B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46EF6">
        <w:rPr>
          <w:rFonts w:ascii="Times New Roman" w:hAnsi="Times New Roman" w:cs="Times New Roman"/>
        </w:rPr>
        <w:t>огоджуємось з думкою проф. Л.</w:t>
      </w:r>
      <w:r>
        <w:rPr>
          <w:rFonts w:ascii="Times New Roman" w:hAnsi="Times New Roman" w:cs="Times New Roman"/>
        </w:rPr>
        <w:t> </w:t>
      </w:r>
      <w:r w:rsidRPr="00046EF6">
        <w:rPr>
          <w:rFonts w:ascii="Times New Roman" w:hAnsi="Times New Roman" w:cs="Times New Roman"/>
        </w:rPr>
        <w:t>В. Нападовської [</w:t>
      </w:r>
      <w:r>
        <w:rPr>
          <w:rFonts w:ascii="Times New Roman" w:hAnsi="Times New Roman" w:cs="Times New Roman"/>
        </w:rPr>
        <w:t>1</w:t>
      </w:r>
      <w:r w:rsidRPr="00046EF6">
        <w:rPr>
          <w:rFonts w:ascii="Times New Roman" w:hAnsi="Times New Roman" w:cs="Times New Roman"/>
        </w:rPr>
        <w:t>]</w:t>
      </w:r>
      <w:r w:rsidRPr="00046EF6">
        <w:t xml:space="preserve"> </w:t>
      </w:r>
      <w:r w:rsidRPr="00046EF6">
        <w:rPr>
          <w:rFonts w:ascii="Times New Roman" w:hAnsi="Times New Roman" w:cs="Times New Roman"/>
        </w:rPr>
        <w:t>і вважаємо, що при виборі методу обліку витрат і калькулювання собівартості необхідно враховувати специфіку діяльності підприємства. Тому для калькулювання готельних послуг доцільною є виробнича собівартість. Вона включає всі виробничі витрати – прямі витрати структурних підрозділів, розподілені витрати інших виробничих підрозділів, визначається в системі рахунків фінансового обліку щомісячно і може бути використана для прийняття оперативних управлінських рішень. Таким чином, собівартість готельної послуги включатиме фактичні прямі витрати та загальновиробничі.</w:t>
      </w:r>
      <w:r w:rsidRPr="00046EF6">
        <w:t xml:space="preserve"> </w:t>
      </w:r>
      <w:r w:rsidRPr="00046EF6">
        <w:rPr>
          <w:rFonts w:ascii="Times New Roman" w:hAnsi="Times New Roman" w:cs="Times New Roman"/>
        </w:rPr>
        <w:t>Звертаємо увагу, що залежно від категорії готелю, визначеною ДСТУ 4269:2003 «Послуги туристичні. Класифікація готелів» такі додаткові послуги як басейн, сауна, солярій, СПА, спортивна зала можуть бути включені до складу основних послуг, а, отже, до виробничої собівартості [</w:t>
      </w:r>
      <w:r>
        <w:rPr>
          <w:rFonts w:ascii="Times New Roman" w:hAnsi="Times New Roman" w:cs="Times New Roman"/>
        </w:rPr>
        <w:t>2</w:t>
      </w:r>
      <w:r w:rsidRPr="00046EF6">
        <w:rPr>
          <w:rFonts w:ascii="Times New Roman" w:hAnsi="Times New Roman" w:cs="Times New Roman"/>
        </w:rPr>
        <w:t>].</w:t>
      </w:r>
    </w:p>
    <w:p w:rsidR="00C91083" w:rsidRPr="00046EF6" w:rsidRDefault="00C91083" w:rsidP="008107B2">
      <w:pPr>
        <w:spacing w:after="0" w:line="240" w:lineRule="auto"/>
        <w:ind w:firstLine="284"/>
        <w:jc w:val="both"/>
      </w:pPr>
      <w:r w:rsidRPr="00046EF6">
        <w:rPr>
          <w:rFonts w:ascii="Times New Roman" w:hAnsi="Times New Roman" w:cs="Times New Roman"/>
        </w:rPr>
        <w:t xml:space="preserve">Проблемою залишається вибір бази розподілу загальновиробничих витрат. У Методичних рекомендаціях з планування, обліку і калькулювання собівартості робіт (послуг) на підприємствах і в організаціях житлово-комунального господарства запропоновано такі бази розподілу загальновиробничих витрат: обсяг витрат на оплату праці робітників, зайнятих у основному виробництві; вартість основних виробничих засобів; обсяг виконання робіт (послуг) у натуральному виразі. </w:t>
      </w:r>
      <w:r w:rsidRPr="00B178F2">
        <w:rPr>
          <w:rFonts w:ascii="Times New Roman" w:hAnsi="Times New Roman" w:cs="Times New Roman"/>
        </w:rPr>
        <w:t>Проте ми пропонуємо бази розподілу непрямих витрат, які необхідно зазначити у розпорядчому документі про облікову політику готелю [3, 4]: амортизація будівлі номера та підготовка до осінньо-зимового періоду  – на 1м</w:t>
      </w:r>
      <w:r w:rsidRPr="00B178F2">
        <w:rPr>
          <w:rFonts w:ascii="Times New Roman" w:hAnsi="Times New Roman" w:cs="Times New Roman"/>
          <w:vertAlign w:val="superscript"/>
        </w:rPr>
        <w:t>2</w:t>
      </w:r>
      <w:r w:rsidRPr="00B178F2">
        <w:rPr>
          <w:rFonts w:ascii="Times New Roman" w:hAnsi="Times New Roman" w:cs="Times New Roman"/>
        </w:rPr>
        <w:t xml:space="preserve"> площі готельного комплексу; заробітна плата прибиральниці – на 1м</w:t>
      </w:r>
      <w:r w:rsidRPr="00B178F2">
        <w:rPr>
          <w:rFonts w:ascii="Times New Roman" w:hAnsi="Times New Roman" w:cs="Times New Roman"/>
          <w:vertAlign w:val="superscript"/>
        </w:rPr>
        <w:t>2</w:t>
      </w:r>
      <w:r w:rsidRPr="00B178F2">
        <w:rPr>
          <w:rFonts w:ascii="Times New Roman" w:hAnsi="Times New Roman" w:cs="Times New Roman"/>
        </w:rPr>
        <w:t xml:space="preserve"> площі коридору, який вона</w:t>
      </w:r>
      <w:r w:rsidRPr="00046EF6">
        <w:rPr>
          <w:rFonts w:ascii="Times New Roman" w:hAnsi="Times New Roman" w:cs="Times New Roman"/>
        </w:rPr>
        <w:t xml:space="preserve"> прибирає; заробітна плата адміністратора та прибирання номерів – залежно від кількості заселених номерів; прання білизни – залежно від кількості ліжок у заселених номерах тощо.</w:t>
      </w:r>
      <w:r w:rsidRPr="00046EF6">
        <w:t xml:space="preserve"> </w:t>
      </w:r>
    </w:p>
    <w:p w:rsidR="00C91083" w:rsidRPr="00046EF6" w:rsidRDefault="00C91083" w:rsidP="008107B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Оскільки загальновиробничі витрати в частині, що відноситься на номерний фонд, є складовою виробничої собівартості готельних послуг, то такий підхід дозволить чітко визначати собівартість калькуляційної одиниці – людино-доби –  та коригувати її залежно від сезонності.</w:t>
      </w:r>
    </w:p>
    <w:p w:rsidR="00C91083" w:rsidRPr="00046EF6" w:rsidRDefault="00C91083" w:rsidP="008107B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 xml:space="preserve">Такий підхід ґрунтується на галузевих особливостях діяльності готелів, розроблений відповідно до національних стандартів бухгалтерського обліку та діючої нормативно-законодавчої бази. Він сприятиме інтеграції управлінського та фінансового обліку, дозволить забезпечити внутрішніх користувачів об’єктивною, оперативно інформацією про розмір та склад витрат готелю для прийняття управлінських рішень. </w:t>
      </w:r>
    </w:p>
    <w:p w:rsidR="00C91083" w:rsidRPr="00046EF6" w:rsidRDefault="00C91083" w:rsidP="008107B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Така аналітична побудова витрат потребує впровадження відповідного програмного забезпечення. Проте, цей підхід надасть можливість оперативного калькулювання собівартості готельних послуг та контролю за ними.</w:t>
      </w:r>
    </w:p>
    <w:p w:rsidR="00C91083" w:rsidRPr="00046EF6" w:rsidRDefault="00C91083" w:rsidP="008107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083" w:rsidRPr="00046EF6" w:rsidRDefault="00C91083" w:rsidP="008107B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Список використаних джерел</w:t>
      </w:r>
    </w:p>
    <w:p w:rsidR="00C91083" w:rsidRPr="00046EF6" w:rsidRDefault="00C91083" w:rsidP="008107B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Нападовська Л. Управлінський облік: суть, значення та рекомендації щодо його використання в практичній діяльності вітчизняних підприємств / Л. В. Нападовська // Бухгалтерський облік і аудит. – 2005. – № 8-9. – С. 50-63</w:t>
      </w:r>
    </w:p>
    <w:p w:rsidR="00C91083" w:rsidRPr="00046EF6" w:rsidRDefault="00C91083" w:rsidP="008107B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ДСТУ 4269:2003 «Послуги туристичні. Класифікація готелів»</w:t>
      </w:r>
      <w:r w:rsidRPr="00046EF6">
        <w:t xml:space="preserve"> </w:t>
      </w:r>
      <w:r w:rsidRPr="00046EF6">
        <w:rPr>
          <w:rFonts w:ascii="Times New Roman" w:hAnsi="Times New Roman" w:cs="Times New Roman"/>
        </w:rPr>
        <w:t xml:space="preserve">[Електронний ресурс] / Держспоживстандарту України. Національний стандарт від 17 серпня 2004 p. № 181– Режим доступу : www.ligazakon.ua. </w:t>
      </w:r>
    </w:p>
    <w:p w:rsidR="00C91083" w:rsidRDefault="00C91083" w:rsidP="008107B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 xml:space="preserve">Про облікову політику підприємства [Електронний ресурс] / Міністерство  фінансів  України. Лист  від 21.12.2005 р. № 31-34000-10-5/27793– Режим доступу : http://www.minfin.gov.ua. </w:t>
      </w:r>
    </w:p>
    <w:p w:rsidR="00C91083" w:rsidRPr="00046EF6" w:rsidRDefault="00C91083" w:rsidP="008107B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046EF6">
        <w:rPr>
          <w:rFonts w:ascii="Times New Roman" w:hAnsi="Times New Roman" w:cs="Times New Roman"/>
        </w:rPr>
        <w:t>Методичні рекомендації щодо складання розпорядчого документа про облікову політику підприємства [Електронний ресурс] / Міністерство  фінансів  України. Наказ від 17.12.2007 р. № 921 [Електронний ресурс]. – Режим</w:t>
      </w:r>
      <w:r w:rsidRPr="00046EF6">
        <w:t xml:space="preserve"> </w:t>
      </w:r>
      <w:r w:rsidRPr="00046EF6">
        <w:rPr>
          <w:rFonts w:ascii="Times New Roman" w:hAnsi="Times New Roman" w:cs="Times New Roman"/>
        </w:rPr>
        <w:t>доступу: http://search.ligazakon.ua</w:t>
      </w:r>
    </w:p>
    <w:p w:rsidR="00C91083" w:rsidRPr="008107B2" w:rsidRDefault="00C91083" w:rsidP="008107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91083" w:rsidRPr="008107B2" w:rsidSect="008B5AC4">
      <w:pgSz w:w="8392" w:h="11907" w:code="11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2ACF"/>
    <w:multiLevelType w:val="hybridMultilevel"/>
    <w:tmpl w:val="E1F2B564"/>
    <w:lvl w:ilvl="0" w:tplc="DFBE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95C"/>
    <w:rsid w:val="00021CD7"/>
    <w:rsid w:val="00040741"/>
    <w:rsid w:val="00045826"/>
    <w:rsid w:val="00046EF6"/>
    <w:rsid w:val="000525FB"/>
    <w:rsid w:val="00056A88"/>
    <w:rsid w:val="00066109"/>
    <w:rsid w:val="000815E0"/>
    <w:rsid w:val="000A4DEA"/>
    <w:rsid w:val="000C1FB1"/>
    <w:rsid w:val="000C42F4"/>
    <w:rsid w:val="000C72D9"/>
    <w:rsid w:val="000D14BB"/>
    <w:rsid w:val="000E0650"/>
    <w:rsid w:val="00103DDA"/>
    <w:rsid w:val="00123D9A"/>
    <w:rsid w:val="00127F0D"/>
    <w:rsid w:val="00136500"/>
    <w:rsid w:val="00183DCF"/>
    <w:rsid w:val="00197DC4"/>
    <w:rsid w:val="001C18F7"/>
    <w:rsid w:val="001C5530"/>
    <w:rsid w:val="001D39D1"/>
    <w:rsid w:val="001D436F"/>
    <w:rsid w:val="001D7463"/>
    <w:rsid w:val="002140EC"/>
    <w:rsid w:val="00215283"/>
    <w:rsid w:val="0022350A"/>
    <w:rsid w:val="00251B3E"/>
    <w:rsid w:val="00265003"/>
    <w:rsid w:val="00267428"/>
    <w:rsid w:val="002745CD"/>
    <w:rsid w:val="0029093D"/>
    <w:rsid w:val="002C452F"/>
    <w:rsid w:val="002D7DD6"/>
    <w:rsid w:val="0030025A"/>
    <w:rsid w:val="00327E73"/>
    <w:rsid w:val="0035073A"/>
    <w:rsid w:val="003523CD"/>
    <w:rsid w:val="00354117"/>
    <w:rsid w:val="003567A2"/>
    <w:rsid w:val="00375D5E"/>
    <w:rsid w:val="003929A4"/>
    <w:rsid w:val="00397516"/>
    <w:rsid w:val="003A4582"/>
    <w:rsid w:val="003B34A2"/>
    <w:rsid w:val="003B4113"/>
    <w:rsid w:val="003C3A38"/>
    <w:rsid w:val="003C73E0"/>
    <w:rsid w:val="003D0227"/>
    <w:rsid w:val="003D2A29"/>
    <w:rsid w:val="003F52A1"/>
    <w:rsid w:val="00407B35"/>
    <w:rsid w:val="00411D86"/>
    <w:rsid w:val="00415EF4"/>
    <w:rsid w:val="00420AC4"/>
    <w:rsid w:val="00421C12"/>
    <w:rsid w:val="00425764"/>
    <w:rsid w:val="004371A9"/>
    <w:rsid w:val="00450B0A"/>
    <w:rsid w:val="00452A2B"/>
    <w:rsid w:val="00467D46"/>
    <w:rsid w:val="00477226"/>
    <w:rsid w:val="00493BEB"/>
    <w:rsid w:val="004A3C50"/>
    <w:rsid w:val="004D5BB8"/>
    <w:rsid w:val="004F3ABF"/>
    <w:rsid w:val="00500DBA"/>
    <w:rsid w:val="00501D1B"/>
    <w:rsid w:val="00502D88"/>
    <w:rsid w:val="00532C04"/>
    <w:rsid w:val="0054593A"/>
    <w:rsid w:val="005618F5"/>
    <w:rsid w:val="00580C99"/>
    <w:rsid w:val="00582963"/>
    <w:rsid w:val="00593323"/>
    <w:rsid w:val="0059352A"/>
    <w:rsid w:val="005A2CAE"/>
    <w:rsid w:val="005A3F25"/>
    <w:rsid w:val="005B4DDF"/>
    <w:rsid w:val="005C296E"/>
    <w:rsid w:val="005C68C0"/>
    <w:rsid w:val="005E33A3"/>
    <w:rsid w:val="005E388F"/>
    <w:rsid w:val="0060038F"/>
    <w:rsid w:val="00610FF9"/>
    <w:rsid w:val="00612467"/>
    <w:rsid w:val="006225C2"/>
    <w:rsid w:val="00627D8D"/>
    <w:rsid w:val="00635251"/>
    <w:rsid w:val="00647881"/>
    <w:rsid w:val="00657351"/>
    <w:rsid w:val="0067495C"/>
    <w:rsid w:val="00687A19"/>
    <w:rsid w:val="006A0D1D"/>
    <w:rsid w:val="006A2A7B"/>
    <w:rsid w:val="006C706E"/>
    <w:rsid w:val="006D52BD"/>
    <w:rsid w:val="006E5D16"/>
    <w:rsid w:val="006F63D7"/>
    <w:rsid w:val="0072606D"/>
    <w:rsid w:val="007278FD"/>
    <w:rsid w:val="00734605"/>
    <w:rsid w:val="00746209"/>
    <w:rsid w:val="00762604"/>
    <w:rsid w:val="007674F9"/>
    <w:rsid w:val="007918E7"/>
    <w:rsid w:val="007A0A0A"/>
    <w:rsid w:val="007A3757"/>
    <w:rsid w:val="007B07C9"/>
    <w:rsid w:val="007C0E2F"/>
    <w:rsid w:val="008107B2"/>
    <w:rsid w:val="00815C04"/>
    <w:rsid w:val="00816901"/>
    <w:rsid w:val="00822BDE"/>
    <w:rsid w:val="0082708A"/>
    <w:rsid w:val="008547A1"/>
    <w:rsid w:val="0086117E"/>
    <w:rsid w:val="0086257D"/>
    <w:rsid w:val="00864967"/>
    <w:rsid w:val="00880C4F"/>
    <w:rsid w:val="0089042E"/>
    <w:rsid w:val="008B2252"/>
    <w:rsid w:val="008B5AC4"/>
    <w:rsid w:val="008C1D25"/>
    <w:rsid w:val="008F21CC"/>
    <w:rsid w:val="008F2C73"/>
    <w:rsid w:val="0090274E"/>
    <w:rsid w:val="00906B4D"/>
    <w:rsid w:val="0091760E"/>
    <w:rsid w:val="009208C2"/>
    <w:rsid w:val="009409EE"/>
    <w:rsid w:val="00943B61"/>
    <w:rsid w:val="00953A50"/>
    <w:rsid w:val="00955294"/>
    <w:rsid w:val="00956C65"/>
    <w:rsid w:val="00962F19"/>
    <w:rsid w:val="00980E80"/>
    <w:rsid w:val="00996FE5"/>
    <w:rsid w:val="009975F2"/>
    <w:rsid w:val="009D22A3"/>
    <w:rsid w:val="00A0058F"/>
    <w:rsid w:val="00A04E3A"/>
    <w:rsid w:val="00A13AFF"/>
    <w:rsid w:val="00A16CE6"/>
    <w:rsid w:val="00A21B70"/>
    <w:rsid w:val="00A34863"/>
    <w:rsid w:val="00A406E2"/>
    <w:rsid w:val="00A42261"/>
    <w:rsid w:val="00A45C24"/>
    <w:rsid w:val="00A82C39"/>
    <w:rsid w:val="00AB61F2"/>
    <w:rsid w:val="00AC6423"/>
    <w:rsid w:val="00AD556C"/>
    <w:rsid w:val="00AD559C"/>
    <w:rsid w:val="00AD64A3"/>
    <w:rsid w:val="00B072BD"/>
    <w:rsid w:val="00B118C4"/>
    <w:rsid w:val="00B178F2"/>
    <w:rsid w:val="00B34561"/>
    <w:rsid w:val="00B56E99"/>
    <w:rsid w:val="00B57315"/>
    <w:rsid w:val="00B57AD6"/>
    <w:rsid w:val="00B77F68"/>
    <w:rsid w:val="00BA101D"/>
    <w:rsid w:val="00BB3425"/>
    <w:rsid w:val="00BC12C1"/>
    <w:rsid w:val="00BD7EE9"/>
    <w:rsid w:val="00C26178"/>
    <w:rsid w:val="00C27915"/>
    <w:rsid w:val="00C43643"/>
    <w:rsid w:val="00C509B6"/>
    <w:rsid w:val="00C62389"/>
    <w:rsid w:val="00C63C8B"/>
    <w:rsid w:val="00C64E68"/>
    <w:rsid w:val="00C82E9F"/>
    <w:rsid w:val="00C91083"/>
    <w:rsid w:val="00CA59A4"/>
    <w:rsid w:val="00CB199B"/>
    <w:rsid w:val="00CD5744"/>
    <w:rsid w:val="00CE2360"/>
    <w:rsid w:val="00CE2535"/>
    <w:rsid w:val="00CE774B"/>
    <w:rsid w:val="00CF5A6C"/>
    <w:rsid w:val="00D0226A"/>
    <w:rsid w:val="00D15605"/>
    <w:rsid w:val="00D16D17"/>
    <w:rsid w:val="00D51084"/>
    <w:rsid w:val="00D57EC9"/>
    <w:rsid w:val="00D719B5"/>
    <w:rsid w:val="00D82447"/>
    <w:rsid w:val="00D8760F"/>
    <w:rsid w:val="00DA1F99"/>
    <w:rsid w:val="00DA3D0D"/>
    <w:rsid w:val="00DA45DD"/>
    <w:rsid w:val="00DD658B"/>
    <w:rsid w:val="00E06D23"/>
    <w:rsid w:val="00E20AD8"/>
    <w:rsid w:val="00E235B3"/>
    <w:rsid w:val="00E329B5"/>
    <w:rsid w:val="00E36F49"/>
    <w:rsid w:val="00E4372D"/>
    <w:rsid w:val="00E646BE"/>
    <w:rsid w:val="00E83B2A"/>
    <w:rsid w:val="00E844F8"/>
    <w:rsid w:val="00E9237C"/>
    <w:rsid w:val="00EB1C2C"/>
    <w:rsid w:val="00EE4ACB"/>
    <w:rsid w:val="00EF0B35"/>
    <w:rsid w:val="00F07F81"/>
    <w:rsid w:val="00F35C62"/>
    <w:rsid w:val="00F50B8D"/>
    <w:rsid w:val="00F62D35"/>
    <w:rsid w:val="00F6553D"/>
    <w:rsid w:val="00F87C0D"/>
    <w:rsid w:val="00FA5198"/>
    <w:rsid w:val="00FB5018"/>
    <w:rsid w:val="00FC0E79"/>
    <w:rsid w:val="00FC5FB7"/>
    <w:rsid w:val="00FE6747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1D"/>
    <w:pPr>
      <w:spacing w:after="200" w:line="276" w:lineRule="auto"/>
    </w:pPr>
    <w:rPr>
      <w:rFonts w:cs="Calibri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529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6E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4</Pages>
  <Words>955</Words>
  <Characters>5449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kyliavec9</cp:lastModifiedBy>
  <cp:revision>7</cp:revision>
  <dcterms:created xsi:type="dcterms:W3CDTF">2014-09-13T12:04:00Z</dcterms:created>
  <dcterms:modified xsi:type="dcterms:W3CDTF">2014-09-17T14:29:00Z</dcterms:modified>
</cp:coreProperties>
</file>