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3A" w:rsidRPr="000D307D" w:rsidRDefault="00E5583A" w:rsidP="000D307D">
      <w:pPr>
        <w:jc w:val="right"/>
        <w:rPr>
          <w:b/>
          <w:sz w:val="26"/>
          <w:szCs w:val="26"/>
          <w:lang w:val="uk-UA"/>
        </w:rPr>
      </w:pPr>
      <w:r w:rsidRPr="000D307D">
        <w:rPr>
          <w:b/>
          <w:sz w:val="26"/>
          <w:szCs w:val="26"/>
          <w:lang w:val="uk-UA"/>
        </w:rPr>
        <w:t>Онещук</w:t>
      </w:r>
      <w:r w:rsidR="000D307D" w:rsidRPr="000D307D">
        <w:rPr>
          <w:b/>
          <w:sz w:val="26"/>
          <w:szCs w:val="26"/>
          <w:lang w:val="uk-UA"/>
        </w:rPr>
        <w:t xml:space="preserve"> </w:t>
      </w:r>
      <w:r w:rsidRPr="000D307D">
        <w:rPr>
          <w:b/>
          <w:sz w:val="26"/>
          <w:szCs w:val="26"/>
          <w:lang w:val="uk-UA"/>
        </w:rPr>
        <w:t>Андрій Вікторович,</w:t>
      </w:r>
    </w:p>
    <w:p w:rsidR="00E5583A" w:rsidRPr="000D307D" w:rsidRDefault="00E5583A" w:rsidP="00E5583A">
      <w:pPr>
        <w:jc w:val="right"/>
        <w:rPr>
          <w:b/>
          <w:sz w:val="26"/>
          <w:szCs w:val="26"/>
          <w:lang w:val="uk-UA"/>
        </w:rPr>
      </w:pPr>
      <w:r w:rsidRPr="000D307D">
        <w:rPr>
          <w:iCs/>
          <w:sz w:val="26"/>
          <w:szCs w:val="26"/>
          <w:lang w:val="uk-UA"/>
        </w:rPr>
        <w:t>аспірант НДІ приватного права і підприємництва імені академіка Ф.Г. Бурчака</w:t>
      </w:r>
    </w:p>
    <w:p w:rsidR="00E5583A" w:rsidRPr="000D307D" w:rsidRDefault="00E5583A" w:rsidP="00E5583A">
      <w:pPr>
        <w:jc w:val="right"/>
        <w:rPr>
          <w:iCs/>
          <w:sz w:val="26"/>
          <w:szCs w:val="26"/>
          <w:lang w:val="uk-UA"/>
        </w:rPr>
      </w:pPr>
      <w:r w:rsidRPr="000D307D">
        <w:rPr>
          <w:iCs/>
          <w:sz w:val="26"/>
          <w:szCs w:val="26"/>
          <w:lang w:val="uk-UA"/>
        </w:rPr>
        <w:t>Національної академії правових наук України</w:t>
      </w:r>
    </w:p>
    <w:p w:rsidR="00E5583A" w:rsidRPr="000D307D" w:rsidRDefault="00E5583A" w:rsidP="00E5583A">
      <w:pPr>
        <w:jc w:val="both"/>
        <w:rPr>
          <w:sz w:val="26"/>
          <w:szCs w:val="26"/>
          <w:lang w:val="uk-UA"/>
        </w:rPr>
      </w:pPr>
    </w:p>
    <w:p w:rsidR="00E5583A" w:rsidRPr="000D307D" w:rsidRDefault="00E5583A" w:rsidP="00E5583A">
      <w:pPr>
        <w:jc w:val="center"/>
        <w:rPr>
          <w:rFonts w:eastAsia="Times New Roman"/>
          <w:b/>
          <w:bCs/>
          <w:caps/>
          <w:sz w:val="26"/>
          <w:szCs w:val="26"/>
          <w:lang w:val="uk-UA" w:eastAsia="ru-RU"/>
        </w:rPr>
      </w:pPr>
      <w:r w:rsidRPr="000D307D">
        <w:rPr>
          <w:rFonts w:eastAsia="Times New Roman"/>
          <w:b/>
          <w:bCs/>
          <w:caps/>
          <w:sz w:val="26"/>
          <w:szCs w:val="26"/>
          <w:lang w:val="uk-UA" w:eastAsia="ru-RU"/>
        </w:rPr>
        <w:t>ЗНАЧЕНННЯ ІНСТИТУТУ БАНКРУТСТВА ФІЗИЧНИХ ОСІБ</w:t>
      </w:r>
    </w:p>
    <w:p w:rsidR="00E5583A" w:rsidRPr="000D307D" w:rsidRDefault="00E5583A" w:rsidP="00E5583A">
      <w:pPr>
        <w:jc w:val="center"/>
        <w:rPr>
          <w:rFonts w:eastAsia="Times New Roman"/>
          <w:b/>
          <w:bCs/>
          <w:sz w:val="26"/>
          <w:szCs w:val="26"/>
          <w:lang w:val="uk-UA" w:eastAsia="ru-RU"/>
        </w:rPr>
      </w:pPr>
      <w:r w:rsidRPr="000D307D">
        <w:rPr>
          <w:rFonts w:eastAsia="Times New Roman"/>
          <w:b/>
          <w:bCs/>
          <w:caps/>
          <w:sz w:val="26"/>
          <w:szCs w:val="26"/>
          <w:lang w:val="uk-UA" w:eastAsia="ru-RU"/>
        </w:rPr>
        <w:t>В умовах захисту національної безпеки</w:t>
      </w:r>
    </w:p>
    <w:p w:rsidR="00E5583A" w:rsidRPr="000D307D" w:rsidRDefault="00E5583A" w:rsidP="00E5583A">
      <w:pPr>
        <w:rPr>
          <w:rFonts w:eastAsia="Times New Roman"/>
          <w:b/>
          <w:bCs/>
          <w:sz w:val="26"/>
          <w:szCs w:val="26"/>
          <w:lang w:val="uk-UA" w:eastAsia="ru-RU"/>
        </w:rPr>
      </w:pPr>
    </w:p>
    <w:p w:rsidR="005C2258" w:rsidRPr="000D307D" w:rsidRDefault="005C2258" w:rsidP="00E5583A">
      <w:pPr>
        <w:tabs>
          <w:tab w:val="left" w:pos="8485"/>
        </w:tabs>
        <w:jc w:val="both"/>
        <w:rPr>
          <w:rFonts w:eastAsia="Times New Roman"/>
          <w:sz w:val="26"/>
          <w:szCs w:val="26"/>
          <w:lang w:val="uk-UA" w:eastAsia="ru-RU"/>
        </w:rPr>
      </w:pPr>
    </w:p>
    <w:p w:rsidR="006A6C68" w:rsidRPr="000D307D" w:rsidRDefault="006A6C68" w:rsidP="00E5583A">
      <w:pPr>
        <w:ind w:firstLine="709"/>
        <w:jc w:val="both"/>
        <w:rPr>
          <w:i/>
          <w:sz w:val="26"/>
          <w:szCs w:val="26"/>
          <w:lang w:val="uk-UA"/>
        </w:rPr>
      </w:pPr>
      <w:r w:rsidRPr="000D307D">
        <w:rPr>
          <w:i/>
          <w:sz w:val="26"/>
          <w:szCs w:val="26"/>
          <w:lang w:val="uk-UA"/>
        </w:rPr>
        <w:t>Вказано на окремі відмінності у процедурах банкрутства фізичних осіб та юридичних осіб і зроблено висновок про велике значення та важливість окремого дослідження інституту банкрутства фізичних осіб.</w:t>
      </w:r>
    </w:p>
    <w:p w:rsidR="006A6C68" w:rsidRPr="000D307D" w:rsidRDefault="006A6C68" w:rsidP="00E5583A">
      <w:pPr>
        <w:ind w:firstLine="709"/>
        <w:jc w:val="both"/>
        <w:rPr>
          <w:i/>
          <w:sz w:val="26"/>
          <w:szCs w:val="26"/>
          <w:lang w:val="uk-UA"/>
        </w:rPr>
      </w:pPr>
      <w:r w:rsidRPr="000D307D">
        <w:rPr>
          <w:i/>
          <w:sz w:val="26"/>
          <w:szCs w:val="26"/>
          <w:lang w:val="uk-UA"/>
        </w:rPr>
        <w:t>Ключові слова: боржник, кредитор, банкрутство, Кодекс України з процедур банкрутства, банкрутство фізичних осіб.</w:t>
      </w:r>
    </w:p>
    <w:p w:rsidR="006A6C68" w:rsidRPr="000D307D" w:rsidRDefault="006A6C68" w:rsidP="00E5583A">
      <w:pPr>
        <w:ind w:firstLine="709"/>
        <w:jc w:val="both"/>
        <w:rPr>
          <w:i/>
          <w:sz w:val="26"/>
          <w:szCs w:val="26"/>
          <w:lang w:val="en-US"/>
        </w:rPr>
      </w:pPr>
      <w:r w:rsidRPr="000D307D">
        <w:rPr>
          <w:i/>
          <w:sz w:val="26"/>
          <w:szCs w:val="26"/>
          <w:lang w:val="en-US"/>
        </w:rPr>
        <w:t>Some differences in the bankruptcy procedures of individuals and legal entities are indicated, and a conclusion is drawn about the great importance and importance of a separate study of the institution of bankruptcy of individuals.</w:t>
      </w:r>
    </w:p>
    <w:p w:rsidR="006A6C68" w:rsidRPr="000D307D" w:rsidRDefault="006A6C68" w:rsidP="00E5583A">
      <w:pPr>
        <w:ind w:firstLine="709"/>
        <w:jc w:val="both"/>
        <w:rPr>
          <w:i/>
          <w:sz w:val="26"/>
          <w:szCs w:val="26"/>
          <w:lang w:val="en-US"/>
        </w:rPr>
      </w:pPr>
      <w:r w:rsidRPr="000D307D">
        <w:rPr>
          <w:i/>
          <w:sz w:val="26"/>
          <w:szCs w:val="26"/>
          <w:lang w:val="en-US"/>
        </w:rPr>
        <w:t>Keywords: debtor, creditor, bankruptcy, Code of Ukraine on bankruptcy procedures, bankruptcy of individuals.</w:t>
      </w:r>
    </w:p>
    <w:p w:rsidR="006A6C68" w:rsidRPr="000D307D" w:rsidRDefault="006A6C68" w:rsidP="00E5583A">
      <w:pPr>
        <w:tabs>
          <w:tab w:val="left" w:pos="8485"/>
        </w:tabs>
        <w:jc w:val="both"/>
        <w:rPr>
          <w:rFonts w:eastAsia="Times New Roman"/>
          <w:sz w:val="26"/>
          <w:szCs w:val="26"/>
          <w:lang w:val="uk-UA" w:eastAsia="ru-RU"/>
        </w:rPr>
      </w:pPr>
    </w:p>
    <w:p w:rsidR="00584412" w:rsidRPr="000D307D" w:rsidRDefault="00584412" w:rsidP="00E5583A">
      <w:pPr>
        <w:tabs>
          <w:tab w:val="left" w:pos="8485"/>
        </w:tabs>
        <w:jc w:val="both"/>
        <w:rPr>
          <w:rFonts w:eastAsia="Times New Roman"/>
          <w:sz w:val="26"/>
          <w:szCs w:val="26"/>
          <w:lang w:val="uk-UA" w:eastAsia="ru-RU"/>
        </w:rPr>
      </w:pPr>
    </w:p>
    <w:p w:rsidR="00E5583A" w:rsidRPr="000D307D" w:rsidRDefault="00E5583A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>В умовах дії воєнного стану і необхідності мобілізації усіх можливих ресурсів значна кількість підприємств і громадян</w:t>
      </w:r>
      <w:r w:rsidR="004F52C3" w:rsidRPr="000D307D">
        <w:rPr>
          <w:rFonts w:eastAsia="Times New Roman"/>
          <w:sz w:val="26"/>
          <w:szCs w:val="26"/>
          <w:lang w:val="uk-UA" w:eastAsia="ru-RU"/>
        </w:rPr>
        <w:t>, віддаючи на потребу фронту, сама опиняється на межі банкрутства. Враховуючи діалектичну залежність публічних і приватних інтересів, загроза фінансовому благополуччю і стабільності окремим підприємствам і громадянам може перерости у загрозу фінансовій, а за нею і національній безпеці держави.</w:t>
      </w:r>
    </w:p>
    <w:p w:rsidR="004658B3" w:rsidRPr="000D307D" w:rsidRDefault="004658B3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>Кодекс України з процедур банкрутства (далі – КУз</w:t>
      </w:r>
      <w:r w:rsidR="00584412" w:rsidRPr="000D307D">
        <w:rPr>
          <w:rFonts w:eastAsia="Times New Roman"/>
          <w:sz w:val="26"/>
          <w:szCs w:val="26"/>
          <w:lang w:val="uk-UA" w:eastAsia="ru-RU"/>
        </w:rPr>
        <w:t>ПБ), який набув чинності у 2019 </w:t>
      </w:r>
      <w:r w:rsidRPr="000D307D">
        <w:rPr>
          <w:rFonts w:eastAsia="Times New Roman"/>
          <w:sz w:val="26"/>
          <w:szCs w:val="26"/>
          <w:lang w:val="uk-UA" w:eastAsia="ru-RU"/>
        </w:rPr>
        <w:t>році, запровадив в Україні інститут так званих «споживчих банкрутств», поширивши дію законодавства про банкрутство не лише на фізичних осіб-підприємців, але і на фізичних осіб без такого статусу. Даний інститут відіграє на сьогодні важливе значення для економіки країни, оскільки дозволяє неплатоспроможним боржникам врегульовувати проблемну заборгованість.</w:t>
      </w:r>
    </w:p>
    <w:p w:rsidR="0060001B" w:rsidRPr="000D307D" w:rsidRDefault="0060001B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 xml:space="preserve">Відновлення платоспроможності боржника 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-</w:t>
      </w:r>
      <w:r w:rsidRPr="000D307D">
        <w:rPr>
          <w:rFonts w:eastAsia="Times New Roman"/>
          <w:sz w:val="26"/>
          <w:szCs w:val="26"/>
          <w:lang w:val="uk-UA" w:eastAsia="ru-RU"/>
        </w:rPr>
        <w:t xml:space="preserve"> фізичної особи повертає особу до активної легальної праці та, загалом, до соціальної д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іяльності, надає кредиторам (включаючи кредитні</w:t>
      </w:r>
      <w:r w:rsidRPr="000D307D">
        <w:rPr>
          <w:rFonts w:eastAsia="Times New Roman"/>
          <w:sz w:val="26"/>
          <w:szCs w:val="26"/>
          <w:lang w:val="uk-UA" w:eastAsia="ru-RU"/>
        </w:rPr>
        <w:t xml:space="preserve"> (фінансові)) установи можливість розстрочення та (або) списання ча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стини заборгованості у порядку,</w:t>
      </w:r>
      <w:r w:rsidRPr="000D307D">
        <w:rPr>
          <w:rFonts w:eastAsia="Times New Roman"/>
          <w:sz w:val="26"/>
          <w:szCs w:val="26"/>
          <w:lang w:val="uk-UA" w:eastAsia="ru-RU"/>
        </w:rPr>
        <w:t xml:space="preserve"> вс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 xml:space="preserve">тановленому судовим рішенням, а </w:t>
      </w:r>
      <w:r w:rsidRPr="000D307D">
        <w:rPr>
          <w:rFonts w:eastAsia="Times New Roman"/>
          <w:sz w:val="26"/>
          <w:szCs w:val="26"/>
          <w:lang w:val="uk-UA" w:eastAsia="ru-RU"/>
        </w:rPr>
        <w:t>також покращенн</w:t>
      </w:r>
      <w:r w:rsidR="00584412" w:rsidRPr="000D307D">
        <w:rPr>
          <w:rFonts w:eastAsia="Times New Roman"/>
          <w:sz w:val="26"/>
          <w:szCs w:val="26"/>
          <w:lang w:val="uk-UA" w:eastAsia="ru-RU"/>
        </w:rPr>
        <w:t>я показників власної фінансової</w:t>
      </w:r>
      <w:r w:rsidRPr="000D307D">
        <w:rPr>
          <w:rFonts w:eastAsia="Times New Roman"/>
          <w:sz w:val="26"/>
          <w:szCs w:val="26"/>
          <w:lang w:val="uk-UA" w:eastAsia="ru-RU"/>
        </w:rPr>
        <w:t xml:space="preserve"> звітності </w:t>
      </w:r>
      <w:r w:rsidRPr="000D307D">
        <w:rPr>
          <w:rFonts w:eastAsia="Times New Roman"/>
          <w:sz w:val="26"/>
          <w:szCs w:val="26"/>
          <w:lang w:val="en-US" w:eastAsia="ru-RU"/>
        </w:rPr>
        <w:t>[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1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, с. </w:t>
      </w:r>
      <w:r w:rsidRPr="000D307D">
        <w:rPr>
          <w:rFonts w:eastAsia="Times New Roman"/>
          <w:sz w:val="26"/>
          <w:szCs w:val="26"/>
          <w:lang w:val="uk-UA" w:eastAsia="ru-RU"/>
        </w:rPr>
        <w:t>33</w:t>
      </w:r>
      <w:r w:rsidRPr="000D307D">
        <w:rPr>
          <w:rFonts w:eastAsia="Times New Roman"/>
          <w:sz w:val="26"/>
          <w:szCs w:val="26"/>
          <w:lang w:val="en-US" w:eastAsia="ru-RU"/>
        </w:rPr>
        <w:t>]</w:t>
      </w:r>
      <w:r w:rsidRPr="000D307D">
        <w:rPr>
          <w:rFonts w:eastAsia="Times New Roman"/>
          <w:sz w:val="26"/>
          <w:szCs w:val="26"/>
          <w:lang w:val="uk-UA" w:eastAsia="ru-RU"/>
        </w:rPr>
        <w:t xml:space="preserve">. 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Проте ще на етапі запровадження в дію нового КУзПБ, у науковій літературі відзначалось, що враховуючи недосконалість Кодексу, є висока ймовірність того, що і банкрутство фізичних осіб буде використовуватися просто як інструмент ухилення від сплати боргів</w:t>
      </w:r>
      <w:r w:rsidR="003B0A41" w:rsidRPr="000D307D">
        <w:rPr>
          <w:rFonts w:eastAsia="Times New Roman"/>
          <w:sz w:val="26"/>
          <w:szCs w:val="26"/>
          <w:lang w:val="en-US" w:eastAsia="ru-RU"/>
        </w:rPr>
        <w:t xml:space="preserve"> [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2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, 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с. 78</w:t>
      </w:r>
      <w:r w:rsidR="003B0A41" w:rsidRPr="000D307D">
        <w:rPr>
          <w:rFonts w:eastAsia="Times New Roman"/>
          <w:sz w:val="26"/>
          <w:szCs w:val="26"/>
          <w:lang w:val="en-US" w:eastAsia="ru-RU"/>
        </w:rPr>
        <w:t>]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. Дійсно, практика застосування КУзПБ показала його недосконалість, але в цілому досить значна кількість борж</w:t>
      </w:r>
      <w:r w:rsidR="00584412" w:rsidRPr="000D307D">
        <w:rPr>
          <w:rFonts w:eastAsia="Times New Roman"/>
          <w:sz w:val="26"/>
          <w:szCs w:val="26"/>
          <w:lang w:val="uk-UA" w:eastAsia="ru-RU"/>
        </w:rPr>
        <w:t>ників уже скористалась цією процедурою і змогла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 xml:space="preserve"> звільнитися від боргів.</w:t>
      </w:r>
    </w:p>
    <w:p w:rsidR="004658B3" w:rsidRPr="000D307D" w:rsidRDefault="004658B3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>Проте слід памʼятати, що інститут банкрутства фізичних осіб розрахований лише на добросовісних боржників, оскільки сприймається як пільга для тих боржників, які чесно хочуть розпочати своє фінансове життя з «чистого аркушу», а не як спосіб законним шляхом обманути своїх кредиторів.</w:t>
      </w:r>
    </w:p>
    <w:p w:rsidR="00AC72CD" w:rsidRPr="000D307D" w:rsidRDefault="00584412" w:rsidP="00E5583A">
      <w:pPr>
        <w:ind w:firstLine="709"/>
        <w:jc w:val="both"/>
        <w:rPr>
          <w:rFonts w:eastAsia="Times New Roman"/>
          <w:sz w:val="26"/>
          <w:szCs w:val="26"/>
          <w:lang w:val="en-US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lastRenderedPageBreak/>
        <w:t>У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разі, якщо боржник не має фінансових можливосте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й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погашати вимоги забезпеченого кредитора, господарськи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й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суд за клопотанням боржника відмовляє в затвердженні плану реструктуризаці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>, встановлює мінімальну суму щомісячного виконання плану реструктуризаці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>, яка не може бути меншою за половину мінімально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заробітно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плати, встановл</w:t>
      </w:r>
      <w:r w:rsidR="0060001B" w:rsidRPr="000D307D">
        <w:rPr>
          <w:rFonts w:eastAsia="Times New Roman"/>
          <w:sz w:val="26"/>
          <w:szCs w:val="26"/>
          <w:lang w:val="uk-UA" w:eastAsia="ru-RU"/>
        </w:rPr>
        <w:t>е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>но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Кабінетом Міністрів Укра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>ни на день ухвалення такого рішення, до моменту повного погашення реструктуризованого зобов’язання, або переходить до наступно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ї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 xml:space="preserve"> процедури та закриває провадження у справі про неплатоспроможність</w:t>
      </w:r>
      <w:r w:rsidR="004658B3" w:rsidRPr="000D307D">
        <w:rPr>
          <w:rFonts w:eastAsia="Times New Roman"/>
          <w:sz w:val="26"/>
          <w:szCs w:val="26"/>
          <w:lang w:val="uk-UA" w:eastAsia="ru-RU"/>
        </w:rPr>
        <w:t xml:space="preserve"> </w:t>
      </w:r>
      <w:r w:rsidR="00AC72CD" w:rsidRPr="000D307D">
        <w:rPr>
          <w:rFonts w:eastAsia="Times New Roman"/>
          <w:sz w:val="26"/>
          <w:szCs w:val="26"/>
          <w:lang w:val="en-US" w:eastAsia="ru-RU"/>
        </w:rPr>
        <w:t>[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3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, с. </w:t>
      </w:r>
      <w:r w:rsidR="00AC72CD" w:rsidRPr="000D307D">
        <w:rPr>
          <w:rFonts w:eastAsia="Times New Roman"/>
          <w:sz w:val="26"/>
          <w:szCs w:val="26"/>
          <w:lang w:val="uk-UA" w:eastAsia="ru-RU"/>
        </w:rPr>
        <w:t>167</w:t>
      </w:r>
      <w:r w:rsidR="00AC72CD" w:rsidRPr="000D307D">
        <w:rPr>
          <w:rFonts w:eastAsia="Times New Roman"/>
          <w:sz w:val="26"/>
          <w:szCs w:val="26"/>
          <w:lang w:val="en-US" w:eastAsia="ru-RU"/>
        </w:rPr>
        <w:t>].</w:t>
      </w:r>
    </w:p>
    <w:p w:rsidR="004658B3" w:rsidRPr="000D307D" w:rsidRDefault="004658B3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>Правовому регулюванню банкрутства фізичних осіб присвячена окрема Книга 4 КУзПБ, яка встановлює особливості застосування процедур банкрутства до фізичних осіб. Якщо ж якесь питання не врегульовано Книгою 4 КУзПБ, то застосуванню підлягають загальні положення КУзПБ щ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одо банкрутства юридичних осіб.</w:t>
      </w:r>
      <w:r w:rsidR="00584412" w:rsidRPr="000D307D">
        <w:rPr>
          <w:rFonts w:eastAsia="Times New Roman"/>
          <w:sz w:val="26"/>
          <w:szCs w:val="26"/>
          <w:lang w:val="uk-UA" w:eastAsia="ru-RU"/>
        </w:rPr>
        <w:t xml:space="preserve"> Проте процедури банкрутства фізичних осіб в силу об’єктивних природних відмінностей відрізняються від процедур, що застосовуються до юридичних осіб. Зокрема і ліквідаційна процедура під час провадження у справі про неплатоспроможність боржника - фізичної особи відсутня [4].</w:t>
      </w:r>
    </w:p>
    <w:p w:rsidR="00AC72CD" w:rsidRPr="000D307D" w:rsidRDefault="004658B3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  <w:r w:rsidRPr="000D307D">
        <w:rPr>
          <w:rFonts w:eastAsia="Times New Roman"/>
          <w:sz w:val="26"/>
          <w:szCs w:val="26"/>
          <w:lang w:val="uk-UA" w:eastAsia="ru-RU"/>
        </w:rPr>
        <w:t>У юрид</w:t>
      </w:r>
      <w:r w:rsidR="006A6C68" w:rsidRPr="000D307D">
        <w:rPr>
          <w:rFonts w:eastAsia="Times New Roman"/>
          <w:sz w:val="26"/>
          <w:szCs w:val="26"/>
          <w:lang w:val="uk-UA" w:eastAsia="ru-RU"/>
        </w:rPr>
        <w:t>ичній літературі за</w:t>
      </w:r>
      <w:r w:rsidRPr="000D307D">
        <w:rPr>
          <w:rFonts w:eastAsia="Times New Roman"/>
          <w:sz w:val="26"/>
          <w:szCs w:val="26"/>
          <w:lang w:val="uk-UA" w:eastAsia="ru-RU"/>
        </w:rPr>
        <w:t>значається, що п</w:t>
      </w:r>
      <w:r w:rsidR="00D61166" w:rsidRPr="000D307D">
        <w:rPr>
          <w:rFonts w:eastAsia="Times New Roman"/>
          <w:sz w:val="26"/>
          <w:szCs w:val="26"/>
          <w:lang w:val="uk-UA" w:eastAsia="ru-RU"/>
        </w:rPr>
        <w:t>орівняно з юридичними особами фізичні особи-підприємці мають низку невиправданих преференці</w:t>
      </w:r>
      <w:r w:rsidRPr="000D307D">
        <w:rPr>
          <w:rFonts w:eastAsia="Times New Roman"/>
          <w:sz w:val="26"/>
          <w:szCs w:val="26"/>
          <w:lang w:val="uk-UA" w:eastAsia="ru-RU"/>
        </w:rPr>
        <w:t>й</w:t>
      </w:r>
      <w:r w:rsidR="00D61166" w:rsidRPr="000D307D">
        <w:rPr>
          <w:rFonts w:eastAsia="Times New Roman"/>
          <w:sz w:val="26"/>
          <w:szCs w:val="26"/>
          <w:lang w:val="uk-UA" w:eastAsia="ru-RU"/>
        </w:rPr>
        <w:t xml:space="preserve"> у частині ініціювання справи про банкрутство, що не є справедливим з точки зору рівності усіх суб’єктів господарювання і зумовлює нерівне становище кредиторів </w:t>
      </w:r>
      <w:r w:rsidR="006A6C68" w:rsidRPr="000D307D">
        <w:rPr>
          <w:rFonts w:eastAsia="Times New Roman"/>
          <w:sz w:val="26"/>
          <w:szCs w:val="26"/>
          <w:lang w:val="uk-UA" w:eastAsia="ru-RU"/>
        </w:rPr>
        <w:t xml:space="preserve">- </w:t>
      </w:r>
      <w:r w:rsidR="00D61166" w:rsidRPr="000D307D">
        <w:rPr>
          <w:rFonts w:eastAsia="Times New Roman"/>
          <w:sz w:val="26"/>
          <w:szCs w:val="26"/>
          <w:lang w:val="uk-UA" w:eastAsia="ru-RU"/>
        </w:rPr>
        <w:t>юридичних осіб і кредиторів</w:t>
      </w:r>
      <w:r w:rsidR="006A6C68" w:rsidRPr="000D307D">
        <w:rPr>
          <w:rFonts w:eastAsia="Times New Roman"/>
          <w:sz w:val="26"/>
          <w:szCs w:val="26"/>
          <w:lang w:val="uk-UA" w:eastAsia="ru-RU"/>
        </w:rPr>
        <w:t xml:space="preserve"> -</w:t>
      </w:r>
      <w:r w:rsidR="00D61166" w:rsidRPr="000D307D">
        <w:rPr>
          <w:rFonts w:eastAsia="Times New Roman"/>
          <w:sz w:val="26"/>
          <w:szCs w:val="26"/>
          <w:lang w:val="uk-UA" w:eastAsia="ru-RU"/>
        </w:rPr>
        <w:t xml:space="preserve"> фізичних осіб-підприємців </w:t>
      </w:r>
      <w:r w:rsidR="00D61166" w:rsidRPr="000D307D">
        <w:rPr>
          <w:rFonts w:eastAsia="Times New Roman"/>
          <w:sz w:val="26"/>
          <w:szCs w:val="26"/>
          <w:lang w:val="en-US" w:eastAsia="ru-RU"/>
        </w:rPr>
        <w:t>[</w:t>
      </w:r>
      <w:r w:rsidR="00584412" w:rsidRPr="000D307D">
        <w:rPr>
          <w:rFonts w:eastAsia="Times New Roman"/>
          <w:sz w:val="26"/>
          <w:szCs w:val="26"/>
          <w:lang w:val="uk-UA" w:eastAsia="ru-RU"/>
        </w:rPr>
        <w:t>5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,</w:t>
      </w:r>
      <w:r w:rsidR="008A3F3E" w:rsidRPr="000D307D">
        <w:rPr>
          <w:rFonts w:eastAsia="Times New Roman"/>
          <w:sz w:val="26"/>
          <w:szCs w:val="26"/>
          <w:lang w:val="uk-UA" w:eastAsia="ru-RU"/>
        </w:rPr>
        <w:t> с. </w:t>
      </w:r>
      <w:r w:rsidR="00D61166" w:rsidRPr="000D307D">
        <w:rPr>
          <w:rFonts w:eastAsia="Times New Roman"/>
          <w:sz w:val="26"/>
          <w:szCs w:val="26"/>
          <w:lang w:val="uk-UA" w:eastAsia="ru-RU"/>
        </w:rPr>
        <w:t>94</w:t>
      </w:r>
      <w:r w:rsidR="00D61166" w:rsidRPr="000D307D">
        <w:rPr>
          <w:rFonts w:eastAsia="Times New Roman"/>
          <w:sz w:val="26"/>
          <w:szCs w:val="26"/>
          <w:lang w:val="en-US" w:eastAsia="ru-RU"/>
        </w:rPr>
        <w:t>].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 xml:space="preserve"> Дійсно, з одного боку </w:t>
      </w:r>
      <w:bookmarkStart w:id="0" w:name="_GoBack"/>
      <w:bookmarkEnd w:id="0"/>
      <w:r w:rsidR="003B0A41" w:rsidRPr="000D307D">
        <w:rPr>
          <w:rFonts w:eastAsia="Times New Roman"/>
          <w:sz w:val="26"/>
          <w:szCs w:val="26"/>
          <w:lang w:val="uk-UA" w:eastAsia="ru-RU"/>
        </w:rPr>
        <w:t>надання державою ряду преференцій боржникам-фізичним особам у порівнянні з боржниками</w:t>
      </w:r>
      <w:r w:rsidR="006A6C68" w:rsidRPr="000D307D">
        <w:rPr>
          <w:rFonts w:eastAsia="Times New Roman"/>
          <w:sz w:val="26"/>
          <w:szCs w:val="26"/>
          <w:lang w:val="uk-UA" w:eastAsia="ru-RU"/>
        </w:rPr>
        <w:t xml:space="preserve"> - </w:t>
      </w:r>
      <w:r w:rsidR="003B0A41" w:rsidRPr="000D307D">
        <w:rPr>
          <w:rFonts w:eastAsia="Times New Roman"/>
          <w:sz w:val="26"/>
          <w:szCs w:val="26"/>
          <w:lang w:val="uk-UA" w:eastAsia="ru-RU"/>
        </w:rPr>
        <w:t>юридичними особами може видатись несправедливим, проте це було вимушеним кроком законодавця, оскільки держава повинна максимально сприяти добросовісним боржникам, які виявили бажання скористатися процедурами неплатоспроможності.</w:t>
      </w:r>
      <w:r w:rsidR="00C906CB" w:rsidRPr="000D307D">
        <w:rPr>
          <w:rFonts w:eastAsia="Times New Roman"/>
          <w:sz w:val="26"/>
          <w:szCs w:val="26"/>
          <w:lang w:val="uk-UA" w:eastAsia="ru-RU"/>
        </w:rPr>
        <w:t xml:space="preserve"> Боржників - фізичних осіб, а отже і потенційних банкрутів - фізичних осіб під час війни у десятки, а то й сотні разів більше, ніж боржників і банкрутів - юридичних осіб. Економічна загроза великій кількості людей може спричинити негативний резонанс у суспільстві, а тому на запобігання банкрутству великої кількості людей мають бути спрямовані зусилля суспільства і держави.</w:t>
      </w:r>
    </w:p>
    <w:p w:rsidR="00AC72CD" w:rsidRPr="000D307D" w:rsidRDefault="00AC72CD" w:rsidP="00E5583A">
      <w:pPr>
        <w:ind w:firstLine="709"/>
        <w:jc w:val="both"/>
        <w:rPr>
          <w:rFonts w:eastAsia="Times New Roman"/>
          <w:sz w:val="26"/>
          <w:szCs w:val="26"/>
          <w:lang w:val="uk-UA" w:eastAsia="ru-RU"/>
        </w:rPr>
      </w:pPr>
    </w:p>
    <w:p w:rsidR="00AC72CD" w:rsidRPr="000D307D" w:rsidRDefault="00C906CB" w:rsidP="00E5583A">
      <w:pPr>
        <w:tabs>
          <w:tab w:val="left" w:pos="851"/>
        </w:tabs>
        <w:ind w:firstLine="567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0D307D">
        <w:rPr>
          <w:rFonts w:eastAsia="Times New Roman"/>
          <w:b/>
          <w:bCs/>
          <w:sz w:val="24"/>
          <w:szCs w:val="24"/>
          <w:lang w:val="uk-UA" w:eastAsia="ru-RU"/>
        </w:rPr>
        <w:t>Перелік використаних джерел</w:t>
      </w:r>
      <w:r w:rsidR="003B0A41" w:rsidRPr="000D307D">
        <w:rPr>
          <w:rFonts w:eastAsia="Times New Roman"/>
          <w:b/>
          <w:bCs/>
          <w:sz w:val="24"/>
          <w:szCs w:val="24"/>
          <w:lang w:val="uk-UA" w:eastAsia="ru-RU"/>
        </w:rPr>
        <w:t>:</w:t>
      </w:r>
    </w:p>
    <w:p w:rsidR="00D61166" w:rsidRPr="000D307D" w:rsidRDefault="00584412" w:rsidP="00E5583A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426" w:hanging="426"/>
        <w:jc w:val="both"/>
        <w:rPr>
          <w:lang w:val="uk-UA"/>
        </w:rPr>
      </w:pPr>
      <w:r w:rsidRPr="000D307D">
        <w:rPr>
          <w:lang w:val="uk-UA"/>
        </w:rPr>
        <w:t>Міньковський С. </w:t>
      </w:r>
      <w:r w:rsidR="0060001B" w:rsidRPr="000D307D">
        <w:rPr>
          <w:lang w:val="uk-UA"/>
        </w:rPr>
        <w:t>В., Чипиженко</w:t>
      </w:r>
      <w:r w:rsidRPr="000D307D">
        <w:rPr>
          <w:lang w:val="uk-UA"/>
        </w:rPr>
        <w:t> Є. </w:t>
      </w:r>
      <w:r w:rsidR="0060001B" w:rsidRPr="000D307D">
        <w:rPr>
          <w:lang w:val="uk-UA"/>
        </w:rPr>
        <w:t xml:space="preserve">В. Питання конкуренції норм Кодексу України з процедур банкрутства та Закону України «Про виконавче провадження» у справах про неплатоспроможність фізичних осіб. </w:t>
      </w:r>
      <w:r w:rsidR="0060001B" w:rsidRPr="000D307D">
        <w:rPr>
          <w:i/>
          <w:iCs/>
          <w:lang w:val="uk-UA"/>
        </w:rPr>
        <w:t xml:space="preserve">Економіка та право. </w:t>
      </w:r>
      <w:r w:rsidRPr="000D307D">
        <w:rPr>
          <w:lang w:val="uk-UA"/>
        </w:rPr>
        <w:t>2021. № 4. С. </w:t>
      </w:r>
      <w:r w:rsidR="0060001B" w:rsidRPr="000D307D">
        <w:rPr>
          <w:lang w:val="uk-UA"/>
        </w:rPr>
        <w:t>32–38.</w:t>
      </w:r>
    </w:p>
    <w:p w:rsidR="003B0A41" w:rsidRPr="000D307D" w:rsidRDefault="00584412" w:rsidP="00E5583A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ind w:left="426" w:hanging="426"/>
        <w:jc w:val="both"/>
        <w:rPr>
          <w:sz w:val="24"/>
          <w:szCs w:val="24"/>
          <w:lang w:val="uk-UA"/>
        </w:rPr>
      </w:pPr>
      <w:r w:rsidRPr="000D307D">
        <w:rPr>
          <w:sz w:val="24"/>
          <w:szCs w:val="24"/>
          <w:lang w:val="uk-UA"/>
        </w:rPr>
        <w:t>Гушилик А. </w:t>
      </w:r>
      <w:r w:rsidR="003B0A41" w:rsidRPr="000D307D">
        <w:rPr>
          <w:sz w:val="24"/>
          <w:szCs w:val="24"/>
          <w:lang w:val="uk-UA"/>
        </w:rPr>
        <w:t xml:space="preserve">Б. Перспективи запровадження банкрутства фізичних осіб. </w:t>
      </w:r>
      <w:r w:rsidR="003B0A41" w:rsidRPr="000D307D">
        <w:rPr>
          <w:i/>
          <w:sz w:val="24"/>
          <w:szCs w:val="24"/>
          <w:lang w:val="uk-UA"/>
        </w:rPr>
        <w:t>Правове забезпечення соціально-економічного розвитку: стан та перспективи</w:t>
      </w:r>
      <w:r w:rsidR="003B0A41" w:rsidRPr="000D307D">
        <w:rPr>
          <w:sz w:val="24"/>
          <w:szCs w:val="24"/>
          <w:lang w:val="uk-UA"/>
        </w:rPr>
        <w:t>: Матеріали Всеукраїнської науково-практичної конференції, присвяченої 35-річчю кафедри господарського права Донецького національного унів</w:t>
      </w:r>
      <w:r w:rsidRPr="000D307D">
        <w:rPr>
          <w:sz w:val="24"/>
          <w:szCs w:val="24"/>
          <w:lang w:val="uk-UA"/>
        </w:rPr>
        <w:t>ерситету імені Василя Стуса (м. </w:t>
      </w:r>
      <w:r w:rsidR="003B0A41" w:rsidRPr="000D307D">
        <w:rPr>
          <w:sz w:val="24"/>
          <w:szCs w:val="24"/>
          <w:lang w:val="uk-UA"/>
        </w:rPr>
        <w:t>Вінниця, 11</w:t>
      </w:r>
      <w:r w:rsidRPr="000D307D">
        <w:rPr>
          <w:sz w:val="24"/>
          <w:szCs w:val="24"/>
          <w:lang w:val="uk-UA"/>
        </w:rPr>
        <w:t>-12 жовтня 2019 р.). Наук. ред. А. Г. Бобкова, А. М. </w:t>
      </w:r>
      <w:r w:rsidR="003B0A41" w:rsidRPr="000D307D">
        <w:rPr>
          <w:sz w:val="24"/>
          <w:szCs w:val="24"/>
          <w:lang w:val="uk-UA"/>
        </w:rPr>
        <w:t>Захарченко. Вінниця: Донецький національний університ</w:t>
      </w:r>
      <w:r w:rsidRPr="000D307D">
        <w:rPr>
          <w:sz w:val="24"/>
          <w:szCs w:val="24"/>
          <w:lang w:val="uk-UA"/>
        </w:rPr>
        <w:t>ет імені Василя Стуса, 2019. С. </w:t>
      </w:r>
      <w:r w:rsidR="003B0A41" w:rsidRPr="000D307D">
        <w:rPr>
          <w:sz w:val="24"/>
          <w:szCs w:val="24"/>
          <w:lang w:val="uk-UA"/>
        </w:rPr>
        <w:t>77–78.</w:t>
      </w:r>
    </w:p>
    <w:p w:rsidR="00584412" w:rsidRPr="000D307D" w:rsidRDefault="00AC72CD" w:rsidP="00E5583A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426" w:hanging="426"/>
        <w:jc w:val="both"/>
        <w:rPr>
          <w:lang w:val="uk-UA"/>
        </w:rPr>
      </w:pPr>
      <w:r w:rsidRPr="000D307D">
        <w:rPr>
          <w:lang w:val="uk-UA"/>
        </w:rPr>
        <w:t>Бутирськи</w:t>
      </w:r>
      <w:r w:rsidR="003B0A41" w:rsidRPr="000D307D">
        <w:rPr>
          <w:lang w:val="uk-UA"/>
        </w:rPr>
        <w:t>й</w:t>
      </w:r>
      <w:r w:rsidR="00584412" w:rsidRPr="000D307D">
        <w:rPr>
          <w:lang w:val="uk-UA"/>
        </w:rPr>
        <w:t> А. </w:t>
      </w:r>
      <w:r w:rsidRPr="000D307D">
        <w:rPr>
          <w:lang w:val="uk-UA"/>
        </w:rPr>
        <w:t xml:space="preserve">А. Особливості банкрутства фізичних осіб. </w:t>
      </w:r>
      <w:r w:rsidRPr="000D307D">
        <w:rPr>
          <w:i/>
          <w:iCs/>
          <w:lang w:val="uk-UA"/>
        </w:rPr>
        <w:t>Приватноправові та публічно-правові відносини: проблеми теорі</w:t>
      </w:r>
      <w:r w:rsidR="003B0A41" w:rsidRPr="000D307D">
        <w:rPr>
          <w:i/>
          <w:iCs/>
          <w:lang w:val="uk-UA"/>
        </w:rPr>
        <w:t>ї</w:t>
      </w:r>
      <w:r w:rsidRPr="000D307D">
        <w:rPr>
          <w:i/>
          <w:iCs/>
          <w:lang w:val="uk-UA"/>
        </w:rPr>
        <w:t xml:space="preserve"> та практики: </w:t>
      </w:r>
      <w:r w:rsidRPr="000D307D">
        <w:rPr>
          <w:lang w:val="uk-UA"/>
        </w:rPr>
        <w:t>матеріали Міжнародно</w:t>
      </w:r>
      <w:r w:rsidR="003B0A41" w:rsidRPr="000D307D">
        <w:rPr>
          <w:lang w:val="uk-UA"/>
        </w:rPr>
        <w:t>ї</w:t>
      </w:r>
      <w:r w:rsidRPr="000D307D">
        <w:rPr>
          <w:lang w:val="uk-UA"/>
        </w:rPr>
        <w:t xml:space="preserve"> конференці</w:t>
      </w:r>
      <w:r w:rsidR="003B0A41" w:rsidRPr="000D307D">
        <w:rPr>
          <w:lang w:val="uk-UA"/>
        </w:rPr>
        <w:t>ї</w:t>
      </w:r>
      <w:r w:rsidRPr="000D307D">
        <w:rPr>
          <w:lang w:val="uk-UA"/>
        </w:rPr>
        <w:t xml:space="preserve"> (в авторські</w:t>
      </w:r>
      <w:r w:rsidR="003B0A41" w:rsidRPr="000D307D">
        <w:rPr>
          <w:lang w:val="uk-UA"/>
        </w:rPr>
        <w:t>й</w:t>
      </w:r>
      <w:r w:rsidRPr="000D307D">
        <w:rPr>
          <w:lang w:val="uk-UA"/>
        </w:rPr>
        <w:t xml:space="preserve"> редакці</w:t>
      </w:r>
      <w:r w:rsidR="003B0A41" w:rsidRPr="000D307D">
        <w:rPr>
          <w:lang w:val="uk-UA"/>
        </w:rPr>
        <w:t>ї</w:t>
      </w:r>
      <w:r w:rsidR="00584412" w:rsidRPr="000D307D">
        <w:rPr>
          <w:lang w:val="uk-UA"/>
        </w:rPr>
        <w:t>) (м. </w:t>
      </w:r>
      <w:r w:rsidRPr="000D307D">
        <w:rPr>
          <w:lang w:val="uk-UA"/>
        </w:rPr>
        <w:t>Маріуполь, 24 вересня 2021 року)</w:t>
      </w:r>
      <w:r w:rsidR="00584412" w:rsidRPr="000D307D">
        <w:rPr>
          <w:lang w:val="uk-UA"/>
        </w:rPr>
        <w:t>. Маріуполь: ДонДУВС. 2021. С. </w:t>
      </w:r>
      <w:r w:rsidRPr="000D307D">
        <w:rPr>
          <w:lang w:val="uk-UA"/>
        </w:rPr>
        <w:t>16</w:t>
      </w:r>
      <w:r w:rsidR="004658B3" w:rsidRPr="000D307D">
        <w:rPr>
          <w:lang w:val="uk-UA"/>
        </w:rPr>
        <w:t>6–168</w:t>
      </w:r>
      <w:r w:rsidRPr="000D307D">
        <w:rPr>
          <w:lang w:val="uk-UA"/>
        </w:rPr>
        <w:t>.</w:t>
      </w:r>
    </w:p>
    <w:p w:rsidR="00584412" w:rsidRPr="000D307D" w:rsidRDefault="00584412" w:rsidP="00E5583A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426" w:hanging="426"/>
        <w:jc w:val="both"/>
        <w:rPr>
          <w:lang w:val="uk-UA"/>
        </w:rPr>
      </w:pPr>
      <w:r w:rsidRPr="000D307D">
        <w:t>Богатир В.</w:t>
      </w:r>
      <w:r w:rsidRPr="000D307D">
        <w:rPr>
          <w:lang w:val="uk-UA"/>
        </w:rPr>
        <w:t> </w:t>
      </w:r>
      <w:r w:rsidRPr="000D307D">
        <w:t>К. Ліквідаційна процедура – заключна процедура у справах про банкрутство: монографія</w:t>
      </w:r>
      <w:r w:rsidRPr="000D307D">
        <w:rPr>
          <w:lang w:val="uk-UA"/>
        </w:rPr>
        <w:t>.</w:t>
      </w:r>
      <w:r w:rsidRPr="000D307D">
        <w:t xml:space="preserve"> В.К. Богатир; за ред. докт. юрид. наук, професора Б.В. Деревянка. Одеса: Видавничий дім «Гельветика», 2021. 210 с. </w:t>
      </w:r>
      <w:r w:rsidRPr="000D307D">
        <w:rPr>
          <w:lang w:val="en-US"/>
        </w:rPr>
        <w:t>URL</w:t>
      </w:r>
      <w:r w:rsidRPr="000D307D">
        <w:t xml:space="preserve">: </w:t>
      </w:r>
      <w:hyperlink r:id="rId8" w:history="1">
        <w:r w:rsidRPr="000D307D">
          <w:rPr>
            <w:rStyle w:val="a8"/>
          </w:rPr>
          <w:t>https://repository.ndippp.gov.ua/handle/765432198/209</w:t>
        </w:r>
      </w:hyperlink>
    </w:p>
    <w:p w:rsidR="00A70737" w:rsidRPr="000D307D" w:rsidRDefault="00584412" w:rsidP="00E5583A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426" w:hanging="426"/>
        <w:jc w:val="both"/>
        <w:rPr>
          <w:lang w:val="uk-UA"/>
        </w:rPr>
      </w:pPr>
      <w:r w:rsidRPr="000D307D">
        <w:rPr>
          <w:iCs/>
          <w:lang w:val="uk-UA"/>
        </w:rPr>
        <w:t>Бутирська І. </w:t>
      </w:r>
      <w:r w:rsidR="004658B3" w:rsidRPr="000D307D">
        <w:rPr>
          <w:iCs/>
          <w:lang w:val="uk-UA"/>
        </w:rPr>
        <w:t xml:space="preserve">А. Банкрутство фізичних осіб: проблеми теорії та практики. </w:t>
      </w:r>
      <w:r w:rsidR="004658B3" w:rsidRPr="000D307D">
        <w:rPr>
          <w:i/>
          <w:lang w:val="uk-UA"/>
        </w:rPr>
        <w:t xml:space="preserve">Економіка та право. </w:t>
      </w:r>
      <w:r w:rsidRPr="000D307D">
        <w:rPr>
          <w:iCs/>
          <w:lang w:val="uk-UA"/>
        </w:rPr>
        <w:t>2021. № 1. С. </w:t>
      </w:r>
      <w:r w:rsidR="004658B3" w:rsidRPr="000D307D">
        <w:rPr>
          <w:iCs/>
          <w:lang w:val="uk-UA"/>
        </w:rPr>
        <w:t>89–95.</w:t>
      </w:r>
    </w:p>
    <w:sectPr w:rsidR="00A70737" w:rsidRPr="000D307D" w:rsidSect="000D307D">
      <w:headerReference w:type="default" r:id="rId9"/>
      <w:pgSz w:w="11900" w:h="16840"/>
      <w:pgMar w:top="1701" w:right="454" w:bottom="1134" w:left="1021" w:header="142" w:footer="709" w:gutter="0"/>
      <w:pgNumType w:start="2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0B" w:rsidRDefault="00991A0B" w:rsidP="00285007">
      <w:r>
        <w:separator/>
      </w:r>
    </w:p>
  </w:endnote>
  <w:endnote w:type="continuationSeparator" w:id="0">
    <w:p w:rsidR="00991A0B" w:rsidRDefault="00991A0B" w:rsidP="002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0B" w:rsidRDefault="00991A0B" w:rsidP="00285007">
      <w:r>
        <w:separator/>
      </w:r>
    </w:p>
  </w:footnote>
  <w:footnote w:type="continuationSeparator" w:id="0">
    <w:p w:rsidR="00991A0B" w:rsidRDefault="00991A0B" w:rsidP="0028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525746"/>
      <w:docPartObj>
        <w:docPartGallery w:val="Page Numbers (Top of Page)"/>
        <w:docPartUnique/>
      </w:docPartObj>
    </w:sdtPr>
    <w:sdtContent>
      <w:p w:rsidR="000D307D" w:rsidRDefault="000D30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279</w:t>
        </w:r>
        <w:r>
          <w:fldChar w:fldCharType="end"/>
        </w:r>
      </w:p>
    </w:sdtContent>
  </w:sdt>
  <w:p w:rsidR="000D307D" w:rsidRPr="000D307D" w:rsidRDefault="000D307D" w:rsidP="000D307D">
    <w:pPr>
      <w:pStyle w:val="ab"/>
      <w:jc w:val="both"/>
      <w:rPr>
        <w:sz w:val="20"/>
        <w:szCs w:val="20"/>
        <w:lang w:val="uk-UA"/>
      </w:rPr>
    </w:pPr>
    <w:r w:rsidRPr="000D307D">
      <w:rPr>
        <w:sz w:val="20"/>
        <w:szCs w:val="20"/>
        <w:lang w:val="uk-UA"/>
      </w:rPr>
      <w:t xml:space="preserve">Онещук А.В. Значення інституту банкрутства фізичних осіб в умовах захисту національної безпеки. </w:t>
    </w:r>
    <w:r w:rsidRPr="000D307D">
      <w:rPr>
        <w:i/>
        <w:sz w:val="20"/>
        <w:szCs w:val="20"/>
        <w:lang w:val="uk-UA"/>
      </w:rPr>
      <w:t>Міжнародна та національна безпека: теоретичні і прикладні аспекти: матеріали VІІІ Міжнар. наук.-практ. конф.</w:t>
    </w:r>
    <w:r w:rsidRPr="000D307D">
      <w:rPr>
        <w:sz w:val="20"/>
        <w:szCs w:val="20"/>
        <w:lang w:val="uk-UA"/>
      </w:rPr>
      <w:t xml:space="preserve"> (м. Дніпро, 15 бер. 2024 р.); у 2-х ч. Дніпро: Дніпроп. держ. ун-т внутр. справ, 2024. Ч. ІІ. С. 278–279.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C83"/>
    <w:multiLevelType w:val="hybridMultilevel"/>
    <w:tmpl w:val="8516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C66"/>
    <w:multiLevelType w:val="hybridMultilevel"/>
    <w:tmpl w:val="30FA484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57E2FDB"/>
    <w:multiLevelType w:val="hybridMultilevel"/>
    <w:tmpl w:val="C2E41D26"/>
    <w:lvl w:ilvl="0" w:tplc="8DD00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A12"/>
    <w:multiLevelType w:val="hybridMultilevel"/>
    <w:tmpl w:val="3CB8EEB8"/>
    <w:lvl w:ilvl="0" w:tplc="1E703A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10EA3"/>
    <w:multiLevelType w:val="hybridMultilevel"/>
    <w:tmpl w:val="1E027C9C"/>
    <w:lvl w:ilvl="0" w:tplc="2168F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5F3D6B"/>
    <w:multiLevelType w:val="hybridMultilevel"/>
    <w:tmpl w:val="0922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73834"/>
    <w:multiLevelType w:val="hybridMultilevel"/>
    <w:tmpl w:val="9C527DC0"/>
    <w:lvl w:ilvl="0" w:tplc="357E7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9F0FD1"/>
    <w:multiLevelType w:val="hybridMultilevel"/>
    <w:tmpl w:val="05AE439A"/>
    <w:lvl w:ilvl="0" w:tplc="C11266BE">
      <w:start w:val="1"/>
      <w:numFmt w:val="decimal"/>
      <w:lvlText w:val="%1."/>
      <w:lvlJc w:val="left"/>
      <w:pPr>
        <w:ind w:left="23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96FE1"/>
    <w:multiLevelType w:val="hybridMultilevel"/>
    <w:tmpl w:val="26C6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94351"/>
    <w:multiLevelType w:val="hybridMultilevel"/>
    <w:tmpl w:val="995AC2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CF17F74"/>
    <w:multiLevelType w:val="hybridMultilevel"/>
    <w:tmpl w:val="2034D4FA"/>
    <w:lvl w:ilvl="0" w:tplc="57BA1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37"/>
    <w:rsid w:val="00000FB1"/>
    <w:rsid w:val="000A24A8"/>
    <w:rsid w:val="000D307D"/>
    <w:rsid w:val="001068AC"/>
    <w:rsid w:val="00132466"/>
    <w:rsid w:val="001C4BAE"/>
    <w:rsid w:val="001D56FD"/>
    <w:rsid w:val="00285007"/>
    <w:rsid w:val="002B1194"/>
    <w:rsid w:val="002C72AB"/>
    <w:rsid w:val="0033159B"/>
    <w:rsid w:val="00344CAB"/>
    <w:rsid w:val="00346D6D"/>
    <w:rsid w:val="003B0A41"/>
    <w:rsid w:val="003F3874"/>
    <w:rsid w:val="00403C86"/>
    <w:rsid w:val="004658B3"/>
    <w:rsid w:val="004B6E54"/>
    <w:rsid w:val="004D0230"/>
    <w:rsid w:val="004F52C3"/>
    <w:rsid w:val="005069D7"/>
    <w:rsid w:val="0056426D"/>
    <w:rsid w:val="00565EB6"/>
    <w:rsid w:val="0057680B"/>
    <w:rsid w:val="00584412"/>
    <w:rsid w:val="005B1A4F"/>
    <w:rsid w:val="005C2258"/>
    <w:rsid w:val="005D4B87"/>
    <w:rsid w:val="0060001B"/>
    <w:rsid w:val="00636814"/>
    <w:rsid w:val="006A6C68"/>
    <w:rsid w:val="007520B4"/>
    <w:rsid w:val="00827F7D"/>
    <w:rsid w:val="00844F8A"/>
    <w:rsid w:val="008A3F3E"/>
    <w:rsid w:val="00977FD2"/>
    <w:rsid w:val="00991A0B"/>
    <w:rsid w:val="009A0E8F"/>
    <w:rsid w:val="009E5CFF"/>
    <w:rsid w:val="00A70737"/>
    <w:rsid w:val="00A81FA7"/>
    <w:rsid w:val="00A87D53"/>
    <w:rsid w:val="00AC72CD"/>
    <w:rsid w:val="00B27A9A"/>
    <w:rsid w:val="00B71C47"/>
    <w:rsid w:val="00BC2698"/>
    <w:rsid w:val="00BD3FDF"/>
    <w:rsid w:val="00C51881"/>
    <w:rsid w:val="00C86987"/>
    <w:rsid w:val="00C906CB"/>
    <w:rsid w:val="00D16B71"/>
    <w:rsid w:val="00D379E9"/>
    <w:rsid w:val="00D41506"/>
    <w:rsid w:val="00D61166"/>
    <w:rsid w:val="00D73E59"/>
    <w:rsid w:val="00DB1058"/>
    <w:rsid w:val="00E5583A"/>
    <w:rsid w:val="00F315E0"/>
    <w:rsid w:val="00FB1099"/>
    <w:rsid w:val="00FB35E6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85007"/>
    <w:rPr>
      <w:rFonts w:eastAsia="Times New Roman"/>
      <w:sz w:val="20"/>
      <w:szCs w:val="20"/>
      <w:lang w:val="uk-UA" w:eastAsia="uk-UA"/>
    </w:rPr>
  </w:style>
  <w:style w:type="character" w:customStyle="1" w:styleId="a4">
    <w:name w:val="Текст сноски Знак"/>
    <w:basedOn w:val="a0"/>
    <w:link w:val="a3"/>
    <w:uiPriority w:val="99"/>
    <w:rsid w:val="00285007"/>
    <w:rPr>
      <w:rFonts w:eastAsia="Times New Roman"/>
      <w:sz w:val="20"/>
      <w:szCs w:val="20"/>
      <w:lang w:val="uk-UA" w:eastAsia="uk-UA"/>
    </w:rPr>
  </w:style>
  <w:style w:type="character" w:styleId="a5">
    <w:name w:val="footnote reference"/>
    <w:uiPriority w:val="99"/>
    <w:semiHidden/>
    <w:unhideWhenUsed/>
    <w:rsid w:val="00285007"/>
    <w:rPr>
      <w:vertAlign w:val="superscript"/>
    </w:rPr>
  </w:style>
  <w:style w:type="paragraph" w:styleId="a6">
    <w:name w:val="List Paragraph"/>
    <w:basedOn w:val="a"/>
    <w:uiPriority w:val="34"/>
    <w:qFormat/>
    <w:rsid w:val="00344CA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3681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814"/>
  </w:style>
  <w:style w:type="character" w:styleId="a8">
    <w:name w:val="Hyperlink"/>
    <w:basedOn w:val="a0"/>
    <w:uiPriority w:val="99"/>
    <w:unhideWhenUsed/>
    <w:rsid w:val="005C22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225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520B4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584412"/>
    <w:pPr>
      <w:jc w:val="both"/>
    </w:pPr>
    <w:rPr>
      <w:rFonts w:eastAsia="Times New Roman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584412"/>
    <w:rPr>
      <w:rFonts w:eastAsia="Times New Roman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0D30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307D"/>
  </w:style>
  <w:style w:type="paragraph" w:styleId="ad">
    <w:name w:val="footer"/>
    <w:basedOn w:val="a"/>
    <w:link w:val="ae"/>
    <w:uiPriority w:val="99"/>
    <w:unhideWhenUsed/>
    <w:rsid w:val="000D30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3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85007"/>
    <w:rPr>
      <w:rFonts w:eastAsia="Times New Roman"/>
      <w:sz w:val="20"/>
      <w:szCs w:val="20"/>
      <w:lang w:val="uk-UA" w:eastAsia="uk-UA"/>
    </w:rPr>
  </w:style>
  <w:style w:type="character" w:customStyle="1" w:styleId="a4">
    <w:name w:val="Текст сноски Знак"/>
    <w:basedOn w:val="a0"/>
    <w:link w:val="a3"/>
    <w:uiPriority w:val="99"/>
    <w:rsid w:val="00285007"/>
    <w:rPr>
      <w:rFonts w:eastAsia="Times New Roman"/>
      <w:sz w:val="20"/>
      <w:szCs w:val="20"/>
      <w:lang w:val="uk-UA" w:eastAsia="uk-UA"/>
    </w:rPr>
  </w:style>
  <w:style w:type="character" w:styleId="a5">
    <w:name w:val="footnote reference"/>
    <w:uiPriority w:val="99"/>
    <w:semiHidden/>
    <w:unhideWhenUsed/>
    <w:rsid w:val="00285007"/>
    <w:rPr>
      <w:vertAlign w:val="superscript"/>
    </w:rPr>
  </w:style>
  <w:style w:type="paragraph" w:styleId="a6">
    <w:name w:val="List Paragraph"/>
    <w:basedOn w:val="a"/>
    <w:uiPriority w:val="34"/>
    <w:qFormat/>
    <w:rsid w:val="00344CA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3681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814"/>
  </w:style>
  <w:style w:type="character" w:styleId="a8">
    <w:name w:val="Hyperlink"/>
    <w:basedOn w:val="a0"/>
    <w:uiPriority w:val="99"/>
    <w:unhideWhenUsed/>
    <w:rsid w:val="005C22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225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520B4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584412"/>
    <w:pPr>
      <w:jc w:val="both"/>
    </w:pPr>
    <w:rPr>
      <w:rFonts w:eastAsia="Times New Roman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584412"/>
    <w:rPr>
      <w:rFonts w:eastAsia="Times New Roman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0D30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307D"/>
  </w:style>
  <w:style w:type="paragraph" w:styleId="ad">
    <w:name w:val="footer"/>
    <w:basedOn w:val="a"/>
    <w:link w:val="ae"/>
    <w:uiPriority w:val="99"/>
    <w:unhideWhenUsed/>
    <w:rsid w:val="000D30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ndippp.gov.ua/handle/765432198/2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LSD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8</cp:revision>
  <cp:lastPrinted>2020-03-01T08:59:00Z</cp:lastPrinted>
  <dcterms:created xsi:type="dcterms:W3CDTF">2023-05-24T08:43:00Z</dcterms:created>
  <dcterms:modified xsi:type="dcterms:W3CDTF">2024-05-01T05:58:00Z</dcterms:modified>
</cp:coreProperties>
</file>