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93" w:rsidRPr="00907B93" w:rsidRDefault="00907B93" w:rsidP="00907B93">
      <w:pPr>
        <w:spacing w:after="0" w:line="240" w:lineRule="auto"/>
        <w:jc w:val="both"/>
        <w:rPr>
          <w:rFonts w:ascii="Times New Roman" w:hAnsi="Times New Roman" w:cs="Times New Roman"/>
          <w:b/>
          <w:sz w:val="24"/>
          <w:szCs w:val="24"/>
        </w:rPr>
      </w:pPr>
      <w:r w:rsidRPr="00907B93">
        <w:rPr>
          <w:rFonts w:ascii="Times New Roman" w:hAnsi="Times New Roman" w:cs="Times New Roman"/>
          <w:b/>
          <w:sz w:val="24"/>
          <w:szCs w:val="24"/>
        </w:rPr>
        <w:t>УДК 342.72/77</w:t>
      </w:r>
    </w:p>
    <w:p w:rsidR="00907B93" w:rsidRPr="00907B93" w:rsidRDefault="00907B93" w:rsidP="00907B93">
      <w:pPr>
        <w:spacing w:after="0" w:line="240" w:lineRule="auto"/>
        <w:jc w:val="both"/>
        <w:rPr>
          <w:rFonts w:ascii="Times New Roman" w:hAnsi="Times New Roman" w:cs="Times New Roman"/>
          <w:b/>
          <w:sz w:val="24"/>
          <w:szCs w:val="24"/>
        </w:rPr>
      </w:pPr>
      <w:r w:rsidRPr="00907B93">
        <w:rPr>
          <w:rFonts w:ascii="Times New Roman" w:hAnsi="Times New Roman" w:cs="Times New Roman"/>
          <w:b/>
          <w:sz w:val="24"/>
          <w:szCs w:val="24"/>
        </w:rPr>
        <w:t>DOI: 10.31733/15-03-2024/1/127-129</w:t>
      </w:r>
    </w:p>
    <w:p w:rsidR="00D5161F" w:rsidRPr="00907B93" w:rsidRDefault="00D5161F" w:rsidP="00A11A1A">
      <w:pPr>
        <w:spacing w:after="0" w:line="240" w:lineRule="auto"/>
        <w:jc w:val="right"/>
        <w:rPr>
          <w:rFonts w:ascii="Times New Roman" w:hAnsi="Times New Roman" w:cs="Times New Roman"/>
          <w:b/>
          <w:sz w:val="24"/>
          <w:szCs w:val="24"/>
          <w:lang w:val="uk-UA"/>
        </w:rPr>
      </w:pPr>
      <w:r w:rsidRPr="00907B93">
        <w:rPr>
          <w:rFonts w:ascii="Times New Roman" w:hAnsi="Times New Roman" w:cs="Times New Roman"/>
          <w:b/>
          <w:sz w:val="24"/>
          <w:szCs w:val="24"/>
          <w:lang w:val="uk-UA"/>
        </w:rPr>
        <w:t>Деревянко</w:t>
      </w:r>
    </w:p>
    <w:p w:rsidR="003D6FC2" w:rsidRPr="00907B93" w:rsidRDefault="003D6FC2" w:rsidP="00A11A1A">
      <w:pPr>
        <w:spacing w:after="0" w:line="240" w:lineRule="auto"/>
        <w:jc w:val="right"/>
        <w:rPr>
          <w:rFonts w:ascii="Times New Roman" w:hAnsi="Times New Roman" w:cs="Times New Roman"/>
          <w:b/>
          <w:sz w:val="24"/>
          <w:szCs w:val="24"/>
          <w:lang w:val="uk-UA"/>
        </w:rPr>
      </w:pPr>
      <w:r w:rsidRPr="00907B93">
        <w:rPr>
          <w:rFonts w:ascii="Times New Roman" w:hAnsi="Times New Roman" w:cs="Times New Roman"/>
          <w:b/>
          <w:sz w:val="24"/>
          <w:szCs w:val="24"/>
          <w:lang w:val="uk-UA"/>
        </w:rPr>
        <w:t>Богдан Володимирович,</w:t>
      </w:r>
    </w:p>
    <w:p w:rsidR="003D6FC2" w:rsidRPr="00907B93" w:rsidRDefault="003D6FC2" w:rsidP="00A11A1A">
      <w:pPr>
        <w:spacing w:after="0" w:line="240" w:lineRule="auto"/>
        <w:jc w:val="right"/>
        <w:rPr>
          <w:rFonts w:ascii="Times New Roman" w:hAnsi="Times New Roman" w:cs="Times New Roman"/>
          <w:b/>
          <w:sz w:val="24"/>
          <w:szCs w:val="24"/>
          <w:lang w:val="uk-UA"/>
        </w:rPr>
      </w:pPr>
      <w:r w:rsidRPr="00907B93">
        <w:rPr>
          <w:rFonts w:ascii="Times New Roman" w:hAnsi="Times New Roman" w:cs="Times New Roman"/>
          <w:iCs/>
          <w:sz w:val="24"/>
          <w:szCs w:val="24"/>
          <w:lang w:val="uk-UA"/>
        </w:rPr>
        <w:t>головний науковий співробітник відділу міжнародного приватного права</w:t>
      </w:r>
    </w:p>
    <w:p w:rsidR="009533F9" w:rsidRPr="00907B93" w:rsidRDefault="009533F9" w:rsidP="00A11A1A">
      <w:pPr>
        <w:spacing w:after="0" w:line="240" w:lineRule="auto"/>
        <w:jc w:val="right"/>
        <w:rPr>
          <w:rFonts w:ascii="Times New Roman" w:hAnsi="Times New Roman" w:cs="Times New Roman"/>
          <w:iCs/>
          <w:sz w:val="24"/>
          <w:szCs w:val="24"/>
          <w:lang w:val="uk-UA"/>
        </w:rPr>
      </w:pPr>
      <w:r w:rsidRPr="00907B93">
        <w:rPr>
          <w:rFonts w:ascii="Times New Roman" w:hAnsi="Times New Roman" w:cs="Times New Roman"/>
          <w:iCs/>
          <w:sz w:val="24"/>
          <w:szCs w:val="24"/>
          <w:lang w:val="uk-UA"/>
        </w:rPr>
        <w:t>НДІ приватного права і підприємництва імені академіка Ф.Г. Бурчака</w:t>
      </w:r>
    </w:p>
    <w:p w:rsidR="001C553C" w:rsidRPr="00907B93" w:rsidRDefault="009533F9" w:rsidP="00A11A1A">
      <w:pPr>
        <w:spacing w:after="0" w:line="240" w:lineRule="auto"/>
        <w:jc w:val="right"/>
        <w:rPr>
          <w:rFonts w:ascii="Times New Roman" w:hAnsi="Times New Roman" w:cs="Times New Roman"/>
          <w:iCs/>
          <w:sz w:val="24"/>
          <w:szCs w:val="24"/>
          <w:lang w:val="uk-UA"/>
        </w:rPr>
      </w:pPr>
      <w:r w:rsidRPr="00907B93">
        <w:rPr>
          <w:rFonts w:ascii="Times New Roman" w:hAnsi="Times New Roman" w:cs="Times New Roman"/>
          <w:iCs/>
          <w:sz w:val="24"/>
          <w:szCs w:val="24"/>
          <w:lang w:val="uk-UA"/>
        </w:rPr>
        <w:t>Національної академії правових наук України</w:t>
      </w:r>
      <w:r w:rsidR="001C553C" w:rsidRPr="00907B93">
        <w:rPr>
          <w:rFonts w:ascii="Times New Roman" w:hAnsi="Times New Roman" w:cs="Times New Roman"/>
          <w:iCs/>
          <w:sz w:val="24"/>
          <w:szCs w:val="24"/>
          <w:lang w:val="uk-UA"/>
        </w:rPr>
        <w:t>, д.ю.н., професор</w:t>
      </w:r>
    </w:p>
    <w:p w:rsidR="001C553C" w:rsidRPr="00907B93" w:rsidRDefault="001C553C" w:rsidP="00A11A1A">
      <w:pPr>
        <w:spacing w:after="0" w:line="240" w:lineRule="auto"/>
        <w:jc w:val="both"/>
        <w:rPr>
          <w:rFonts w:ascii="Times New Roman" w:hAnsi="Times New Roman" w:cs="Times New Roman"/>
          <w:sz w:val="24"/>
          <w:szCs w:val="24"/>
          <w:lang w:val="uk-UA"/>
        </w:rPr>
      </w:pPr>
    </w:p>
    <w:p w:rsidR="003D6FC2" w:rsidRPr="00907B93" w:rsidRDefault="003D6FC2" w:rsidP="00A11A1A">
      <w:pPr>
        <w:spacing w:after="0" w:line="240" w:lineRule="auto"/>
        <w:jc w:val="center"/>
        <w:rPr>
          <w:rFonts w:ascii="Times New Roman" w:hAnsi="Times New Roman" w:cs="Times New Roman"/>
          <w:b/>
          <w:caps/>
          <w:sz w:val="24"/>
          <w:szCs w:val="24"/>
          <w:lang w:val="uk-UA"/>
        </w:rPr>
      </w:pPr>
      <w:r w:rsidRPr="00907B93">
        <w:rPr>
          <w:rFonts w:ascii="Times New Roman" w:hAnsi="Times New Roman" w:cs="Times New Roman"/>
          <w:b/>
          <w:caps/>
          <w:sz w:val="24"/>
          <w:szCs w:val="24"/>
          <w:lang w:val="uk-UA"/>
        </w:rPr>
        <w:t>окремі проблемИ РІВНОСТІ ГРОМАДЯН</w:t>
      </w:r>
    </w:p>
    <w:p w:rsidR="003D6FC2" w:rsidRPr="00907B93" w:rsidRDefault="003D6FC2" w:rsidP="00A11A1A">
      <w:pPr>
        <w:spacing w:after="0" w:line="240" w:lineRule="auto"/>
        <w:jc w:val="center"/>
        <w:rPr>
          <w:rFonts w:ascii="Times New Roman" w:hAnsi="Times New Roman" w:cs="Times New Roman"/>
          <w:b/>
          <w:caps/>
          <w:sz w:val="24"/>
          <w:szCs w:val="24"/>
          <w:lang w:val="uk-UA"/>
        </w:rPr>
      </w:pPr>
      <w:r w:rsidRPr="00907B93">
        <w:rPr>
          <w:rFonts w:ascii="Times New Roman" w:hAnsi="Times New Roman" w:cs="Times New Roman"/>
          <w:b/>
          <w:caps/>
          <w:sz w:val="24"/>
          <w:szCs w:val="24"/>
          <w:lang w:val="uk-UA"/>
        </w:rPr>
        <w:t>І захисту ЇХ прав і свобод в умовах воєнного стану</w:t>
      </w:r>
    </w:p>
    <w:p w:rsidR="00221103" w:rsidRPr="00907B93" w:rsidRDefault="00221103" w:rsidP="00A11A1A">
      <w:pPr>
        <w:spacing w:after="0" w:line="240" w:lineRule="auto"/>
        <w:jc w:val="center"/>
        <w:rPr>
          <w:rFonts w:ascii="Times New Roman" w:hAnsi="Times New Roman" w:cs="Times New Roman"/>
          <w:b/>
          <w:caps/>
          <w:sz w:val="24"/>
          <w:szCs w:val="24"/>
          <w:lang w:val="uk-UA"/>
        </w:rPr>
      </w:pPr>
    </w:p>
    <w:p w:rsidR="00A11A1A" w:rsidRPr="00907B93" w:rsidRDefault="00301F4C"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В усі часи в усіх країнах під час війни та дії воєнного стану </w:t>
      </w:r>
      <w:r w:rsidR="000C20E7" w:rsidRPr="00907B93">
        <w:rPr>
          <w:rFonts w:ascii="Times New Roman" w:hAnsi="Times New Roman" w:cs="Times New Roman"/>
          <w:sz w:val="24"/>
          <w:szCs w:val="24"/>
          <w:lang w:val="uk-UA"/>
        </w:rPr>
        <w:t xml:space="preserve">на перший план виходять фахівці з військових професій, а також із </w:t>
      </w:r>
      <w:r w:rsidR="00345149" w:rsidRPr="00907B93">
        <w:rPr>
          <w:rFonts w:ascii="Times New Roman" w:hAnsi="Times New Roman" w:cs="Times New Roman"/>
          <w:sz w:val="24"/>
          <w:szCs w:val="24"/>
          <w:lang w:val="uk-UA"/>
        </w:rPr>
        <w:t xml:space="preserve">професій, які можуть бути корисними </w:t>
      </w:r>
      <w:r w:rsidR="00230C55" w:rsidRPr="00907B93">
        <w:rPr>
          <w:rFonts w:ascii="Times New Roman" w:hAnsi="Times New Roman" w:cs="Times New Roman"/>
          <w:sz w:val="24"/>
          <w:szCs w:val="24"/>
          <w:lang w:val="uk-UA"/>
        </w:rPr>
        <w:t xml:space="preserve">під час ведення воєнних дій. Тому немає нічого незвичного у тому, що під час війни більш високо оцінюється </w:t>
      </w:r>
      <w:r w:rsidR="00A11A1A" w:rsidRPr="00907B93">
        <w:rPr>
          <w:rFonts w:ascii="Times New Roman" w:hAnsi="Times New Roman" w:cs="Times New Roman"/>
          <w:sz w:val="24"/>
          <w:szCs w:val="24"/>
          <w:lang w:val="uk-UA"/>
        </w:rPr>
        <w:t>праця</w:t>
      </w:r>
      <w:r w:rsidR="00230C55" w:rsidRPr="00907B93">
        <w:rPr>
          <w:rFonts w:ascii="Times New Roman" w:hAnsi="Times New Roman" w:cs="Times New Roman"/>
          <w:sz w:val="24"/>
          <w:szCs w:val="24"/>
          <w:lang w:val="uk-UA"/>
        </w:rPr>
        <w:t xml:space="preserve"> військових, </w:t>
      </w:r>
      <w:r w:rsidR="00944644" w:rsidRPr="00907B93">
        <w:rPr>
          <w:rFonts w:ascii="Times New Roman" w:hAnsi="Times New Roman" w:cs="Times New Roman"/>
          <w:sz w:val="24"/>
          <w:szCs w:val="24"/>
          <w:lang w:val="uk-UA"/>
        </w:rPr>
        <w:t>виробників військових машин, обладнання, боєприпасів, працівників підприємств критичної інфраструктури (зокрема підприємств енергетичного сектору), транспортної інфраструктури (зокрема АТ «Укрзалізниця»</w:t>
      </w:r>
      <w:r w:rsidR="00D84A1F" w:rsidRPr="00907B93">
        <w:rPr>
          <w:rFonts w:ascii="Times New Roman" w:hAnsi="Times New Roman" w:cs="Times New Roman"/>
          <w:sz w:val="24"/>
          <w:szCs w:val="24"/>
          <w:lang w:val="uk-UA"/>
        </w:rPr>
        <w:t>,</w:t>
      </w:r>
      <w:r w:rsidR="00944644" w:rsidRPr="00907B93">
        <w:rPr>
          <w:rFonts w:ascii="Times New Roman" w:hAnsi="Times New Roman" w:cs="Times New Roman"/>
          <w:sz w:val="24"/>
          <w:szCs w:val="24"/>
          <w:lang w:val="uk-UA"/>
        </w:rPr>
        <w:t xml:space="preserve"> залізнич</w:t>
      </w:r>
      <w:r w:rsidR="00D84A1F" w:rsidRPr="00907B93">
        <w:rPr>
          <w:rFonts w:ascii="Times New Roman" w:hAnsi="Times New Roman" w:cs="Times New Roman"/>
          <w:sz w:val="24"/>
          <w:szCs w:val="24"/>
          <w:lang w:val="uk-UA"/>
        </w:rPr>
        <w:t>них підрозділів промислових та інших підприємств</w:t>
      </w:r>
      <w:r w:rsidR="00944644" w:rsidRPr="00907B93">
        <w:rPr>
          <w:rFonts w:ascii="Times New Roman" w:hAnsi="Times New Roman" w:cs="Times New Roman"/>
          <w:sz w:val="24"/>
          <w:szCs w:val="24"/>
          <w:lang w:val="uk-UA"/>
        </w:rPr>
        <w:t>)</w:t>
      </w:r>
      <w:r w:rsidR="00D84A1F" w:rsidRPr="00907B93">
        <w:rPr>
          <w:rFonts w:ascii="Times New Roman" w:hAnsi="Times New Roman" w:cs="Times New Roman"/>
          <w:sz w:val="24"/>
          <w:szCs w:val="24"/>
          <w:lang w:val="uk-UA"/>
        </w:rPr>
        <w:t xml:space="preserve"> та ін. </w:t>
      </w:r>
      <w:r w:rsidR="00EF6C75" w:rsidRPr="00907B93">
        <w:rPr>
          <w:rFonts w:ascii="Times New Roman" w:hAnsi="Times New Roman" w:cs="Times New Roman"/>
          <w:sz w:val="24"/>
          <w:szCs w:val="24"/>
          <w:lang w:val="uk-UA"/>
        </w:rPr>
        <w:t xml:space="preserve">Під час війни є затребуваними як безпосередньо у війську, так і в тилу водії та авторемонтники. </w:t>
      </w:r>
      <w:r w:rsidR="00EE4FD4" w:rsidRPr="00907B93">
        <w:rPr>
          <w:rFonts w:ascii="Times New Roman" w:hAnsi="Times New Roman" w:cs="Times New Roman"/>
          <w:sz w:val="24"/>
          <w:szCs w:val="24"/>
          <w:lang w:val="uk-UA"/>
        </w:rPr>
        <w:t>У сучасних умовах діджиталізації і розвитку інтернет-технологій і в війську, і в тилу є затребуваними як програмісти, так і майстри з налаштування і ремонту комп’ютерних програм, мереж і обладнання.</w:t>
      </w:r>
    </w:p>
    <w:p w:rsidR="00221103" w:rsidRPr="00907B93" w:rsidRDefault="00146BEC"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Викладене зумовлене об’єктивними причинами, викликаними потребою у захисті держави, її суверенітету, відновлення територіальної цінності, захисті життя і здоров’я людей.</w:t>
      </w:r>
      <w:r w:rsidR="002B1E4E" w:rsidRPr="00907B93">
        <w:rPr>
          <w:rFonts w:ascii="Times New Roman" w:hAnsi="Times New Roman" w:cs="Times New Roman"/>
          <w:sz w:val="24"/>
          <w:szCs w:val="24"/>
          <w:lang w:val="uk-UA"/>
        </w:rPr>
        <w:t xml:space="preserve"> Тому у даному випадку не можна говорити про дискримінацію </w:t>
      </w:r>
      <w:r w:rsidR="00A11A1A" w:rsidRPr="00907B93">
        <w:rPr>
          <w:rFonts w:ascii="Times New Roman" w:hAnsi="Times New Roman" w:cs="Times New Roman"/>
          <w:sz w:val="24"/>
          <w:szCs w:val="24"/>
          <w:lang w:val="uk-UA"/>
        </w:rPr>
        <w:t xml:space="preserve">інших </w:t>
      </w:r>
      <w:r w:rsidR="002B1E4E" w:rsidRPr="00907B93">
        <w:rPr>
          <w:rFonts w:ascii="Times New Roman" w:hAnsi="Times New Roman" w:cs="Times New Roman"/>
          <w:sz w:val="24"/>
          <w:szCs w:val="24"/>
          <w:lang w:val="uk-UA"/>
        </w:rPr>
        <w:t>громадян України за професійною ознакою.</w:t>
      </w:r>
    </w:p>
    <w:p w:rsidR="00A11A1A" w:rsidRPr="00907B93" w:rsidRDefault="002A7EE0"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Демократичний розвиток цивілізованих країн світу призвів до заборони дискримінації за значною кількістю ознак. Інколи дискримінація за певною ознакою видається надуманою або перебільшеною. А в деяких випадках наявність дискримінації за важливою ознакою міжнародне та укр</w:t>
      </w:r>
      <w:r w:rsidR="00A11A1A" w:rsidRPr="00907B93">
        <w:rPr>
          <w:rFonts w:ascii="Times New Roman" w:hAnsi="Times New Roman" w:cs="Times New Roman"/>
          <w:sz w:val="24"/>
          <w:szCs w:val="24"/>
          <w:lang w:val="uk-UA"/>
        </w:rPr>
        <w:t>аїнське суспільство не помічає.</w:t>
      </w:r>
    </w:p>
    <w:p w:rsidR="00A11A1A" w:rsidRPr="00907B93" w:rsidRDefault="002A7EE0"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Отже, перефразувавши положення статті 2 Загальної декларації прав людини ООН від 10 грудня 1948 року, можна назвати заборону дискримінації людей за </w:t>
      </w:r>
      <w:r w:rsidRPr="00907B93">
        <w:rPr>
          <w:rFonts w:ascii="Times New Roman" w:eastAsia="Times New Roman" w:hAnsi="Times New Roman" w:cs="Times New Roman"/>
          <w:sz w:val="24"/>
          <w:szCs w:val="24"/>
          <w:lang w:val="uk-UA"/>
        </w:rPr>
        <w:t xml:space="preserve">расою, кольором шкіри, статтю, мовою, релігією, політичними або іншими переконаннями, національним чи соціальним походженням, майновим, становим або іншим становищем; заборону дискримінації людей на основі політичного, правового або міжнародного статусу країни або території, до якої людина належить, незалежно від того, чи є ця територія незалежною, підопічною, несамоврядованою або як-небудь інакше обмеженою у своєму суверенітеті </w:t>
      </w:r>
      <w:r w:rsidRPr="00907B93">
        <w:rPr>
          <w:rFonts w:ascii="Times New Roman" w:hAnsi="Times New Roman" w:cs="Times New Roman"/>
          <w:sz w:val="24"/>
          <w:szCs w:val="24"/>
          <w:lang w:val="uk-UA"/>
        </w:rPr>
        <w:t>[</w:t>
      </w:r>
      <w:r w:rsidR="001340FB" w:rsidRPr="00907B93">
        <w:rPr>
          <w:rFonts w:ascii="Times New Roman" w:hAnsi="Times New Roman" w:cs="Times New Roman"/>
          <w:sz w:val="24"/>
          <w:szCs w:val="24"/>
          <w:lang w:val="uk-UA"/>
        </w:rPr>
        <w:t>1</w:t>
      </w:r>
      <w:r w:rsidRPr="00907B93">
        <w:rPr>
          <w:rFonts w:ascii="Times New Roman" w:hAnsi="Times New Roman" w:cs="Times New Roman"/>
          <w:sz w:val="24"/>
          <w:szCs w:val="24"/>
          <w:lang w:val="uk-UA"/>
        </w:rPr>
        <w:t>].</w:t>
      </w:r>
    </w:p>
    <w:p w:rsidR="00A11A1A" w:rsidRPr="00907B93" w:rsidRDefault="00CB505D"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Перефразувавши положення частини другої статті 25 Загальної декларації прав людини ООН, можна назвати заборону дискримінації дітей, народжених поза шлюбом [</w:t>
      </w:r>
      <w:r w:rsidR="001340FB" w:rsidRPr="00907B93">
        <w:rPr>
          <w:rFonts w:ascii="Times New Roman" w:hAnsi="Times New Roman" w:cs="Times New Roman"/>
          <w:sz w:val="24"/>
          <w:szCs w:val="24"/>
          <w:lang w:val="uk-UA"/>
        </w:rPr>
        <w:t>1</w:t>
      </w:r>
      <w:r w:rsidRPr="00907B93">
        <w:rPr>
          <w:rFonts w:ascii="Times New Roman" w:hAnsi="Times New Roman" w:cs="Times New Roman"/>
          <w:sz w:val="24"/>
          <w:szCs w:val="24"/>
          <w:lang w:val="uk-UA"/>
        </w:rPr>
        <w:t>].</w:t>
      </w:r>
    </w:p>
    <w:p w:rsidR="002A7EE0" w:rsidRPr="00907B93" w:rsidRDefault="005F6F3E"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З 1948 року з’явилося</w:t>
      </w:r>
      <w:r w:rsidR="00A11A1A" w:rsidRPr="00907B93">
        <w:rPr>
          <w:rFonts w:ascii="Times New Roman" w:hAnsi="Times New Roman" w:cs="Times New Roman"/>
          <w:sz w:val="24"/>
          <w:szCs w:val="24"/>
          <w:lang w:val="uk-UA"/>
        </w:rPr>
        <w:t xml:space="preserve"> формулювання забороненого суспільством явища</w:t>
      </w:r>
      <w:r w:rsidRPr="00907B93">
        <w:rPr>
          <w:rFonts w:ascii="Times New Roman" w:hAnsi="Times New Roman" w:cs="Times New Roman"/>
          <w:sz w:val="24"/>
          <w:szCs w:val="24"/>
          <w:lang w:val="uk-UA"/>
        </w:rPr>
        <w:t xml:space="preserve"> «буллінг», з’явився вид дискримінації за віком – т.зв. «ейджизм», про існування якого більшість українців дізналися після спроби законотворця позбавити права на відстрочку від призову на військову службу під час мобілізації здобувачів другої професійної (професійно-технічної), фахової передвищої та вищої освіти, які навчаються за денною або дуальною формами здобуття освіти, яким на момент вступу виповнилося 30 років. На позначення дискримінації людей із ожирінням з’явився </w:t>
      </w:r>
      <w:r w:rsidR="0055549E" w:rsidRPr="00907B93">
        <w:rPr>
          <w:rFonts w:ascii="Times New Roman" w:hAnsi="Times New Roman" w:cs="Times New Roman"/>
          <w:sz w:val="24"/>
          <w:szCs w:val="24"/>
          <w:lang w:val="uk-UA"/>
        </w:rPr>
        <w:t>термін «бодішеймінг», а на позначення дискримінації гомосексуалістів з’явився термін «гомофобія».</w:t>
      </w:r>
      <w:r w:rsidR="004900FD" w:rsidRPr="00907B93">
        <w:rPr>
          <w:rFonts w:ascii="Times New Roman" w:hAnsi="Times New Roman" w:cs="Times New Roman"/>
          <w:sz w:val="24"/>
          <w:szCs w:val="24"/>
          <w:lang w:val="uk-UA"/>
        </w:rPr>
        <w:t xml:space="preserve"> З’явилися й інші спеціальні поняття на позначення дискримінації людей за різними ознаками.</w:t>
      </w:r>
      <w:r w:rsidR="007A7D08" w:rsidRPr="00907B93">
        <w:rPr>
          <w:rFonts w:ascii="Times New Roman" w:hAnsi="Times New Roman" w:cs="Times New Roman"/>
          <w:sz w:val="24"/>
          <w:szCs w:val="24"/>
          <w:lang w:val="uk-UA"/>
        </w:rPr>
        <w:t xml:space="preserve"> Натомість поняття дискримінації за професійною ознакою відсутнє.</w:t>
      </w:r>
    </w:p>
    <w:p w:rsidR="005F6F3E" w:rsidRPr="00907B93" w:rsidRDefault="00595CA9"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Частиною другою статті 23 Загальної декларації прав людини ООН проголошено, що «кожна людина, без будь-якої дискримінації, має право на рівну оплату за рівну працю» [</w:t>
      </w:r>
      <w:r w:rsidR="001340FB" w:rsidRPr="00907B93">
        <w:rPr>
          <w:rFonts w:ascii="Times New Roman" w:hAnsi="Times New Roman" w:cs="Times New Roman"/>
          <w:sz w:val="24"/>
          <w:szCs w:val="24"/>
          <w:lang w:val="uk-UA"/>
        </w:rPr>
        <w:t>1</w:t>
      </w:r>
      <w:r w:rsidRPr="00907B93">
        <w:rPr>
          <w:rFonts w:ascii="Times New Roman" w:hAnsi="Times New Roman" w:cs="Times New Roman"/>
          <w:sz w:val="24"/>
          <w:szCs w:val="24"/>
          <w:lang w:val="uk-UA"/>
        </w:rPr>
        <w:t xml:space="preserve">]. Очевидно тут </w:t>
      </w:r>
      <w:r w:rsidRPr="00907B93">
        <w:rPr>
          <w:rFonts w:ascii="Times New Roman" w:hAnsi="Times New Roman" w:cs="Times New Roman"/>
          <w:sz w:val="24"/>
          <w:szCs w:val="24"/>
          <w:lang w:val="uk-UA"/>
        </w:rPr>
        <w:lastRenderedPageBreak/>
        <w:t>мається на увазі, що за виконання однакової за змістом, обсягом і часом роботи однакову оплату мають отримувати чоловіки і жінки, люди різних рас, національностей і віросповідань тощо. В Україні наразі існує дещо інший вид дискримінації за професійною ознакою.</w:t>
      </w:r>
    </w:p>
    <w:p w:rsidR="00C10D4F" w:rsidRPr="00907B93" w:rsidRDefault="00FC0061"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До початку широкомасштабного вторгнення збройних сил московії (російської федерації) в Україну знаходила прояв, а під час дії воєнного стану набула загострення проблема дискримінації людей за професійною ознакою. </w:t>
      </w:r>
      <w:r w:rsidR="004E04B7" w:rsidRPr="00907B93">
        <w:rPr>
          <w:rFonts w:ascii="Times New Roman" w:hAnsi="Times New Roman" w:cs="Times New Roman"/>
          <w:sz w:val="24"/>
          <w:szCs w:val="24"/>
          <w:lang w:val="uk-UA"/>
        </w:rPr>
        <w:t>Для розуміння проблеми нами у 2022 році було проведено порівняльний аналіз дії норм про розміри посадових окладів чотирьох категорій працівників у межах наукової статті «Щодо дії норм про розміри посадових окладів викладачів, науковців та посадових осіб виконавчої і судової гілок влади (у контексті рівності людей за статтею 21 Конституції України)» [</w:t>
      </w:r>
      <w:r w:rsidR="001340FB" w:rsidRPr="00907B93">
        <w:rPr>
          <w:rFonts w:ascii="Times New Roman" w:hAnsi="Times New Roman" w:cs="Times New Roman"/>
          <w:sz w:val="24"/>
          <w:szCs w:val="24"/>
          <w:lang w:val="uk-UA"/>
        </w:rPr>
        <w:t>2</w:t>
      </w:r>
      <w:r w:rsidR="004E04B7" w:rsidRPr="00907B93">
        <w:rPr>
          <w:rFonts w:ascii="Times New Roman" w:hAnsi="Times New Roman" w:cs="Times New Roman"/>
          <w:sz w:val="24"/>
          <w:szCs w:val="24"/>
          <w:lang w:val="uk-UA"/>
        </w:rPr>
        <w:t xml:space="preserve">]. Було акцентовано увагу не на різниці в розмірах окладів (вони й мають бути різними залежно від ступеня важливості, складності </w:t>
      </w:r>
      <w:r w:rsidR="00A11A1A" w:rsidRPr="00907B93">
        <w:rPr>
          <w:rFonts w:ascii="Times New Roman" w:hAnsi="Times New Roman" w:cs="Times New Roman"/>
          <w:sz w:val="24"/>
          <w:szCs w:val="24"/>
          <w:lang w:val="uk-UA"/>
        </w:rPr>
        <w:t>виконуваної роботи,</w:t>
      </w:r>
      <w:r w:rsidR="004E04B7" w:rsidRPr="00907B93">
        <w:rPr>
          <w:rFonts w:ascii="Times New Roman" w:hAnsi="Times New Roman" w:cs="Times New Roman"/>
          <w:sz w:val="24"/>
          <w:szCs w:val="24"/>
          <w:lang w:val="uk-UA"/>
        </w:rPr>
        <w:t xml:space="preserve"> </w:t>
      </w:r>
      <w:r w:rsidR="008906B4" w:rsidRPr="00907B93">
        <w:rPr>
          <w:rFonts w:ascii="Times New Roman" w:hAnsi="Times New Roman" w:cs="Times New Roman"/>
          <w:sz w:val="24"/>
          <w:szCs w:val="24"/>
          <w:lang w:val="uk-UA"/>
        </w:rPr>
        <w:t>відповідальності</w:t>
      </w:r>
      <w:r w:rsidR="00A11A1A" w:rsidRPr="00907B93">
        <w:rPr>
          <w:rFonts w:ascii="Times New Roman" w:hAnsi="Times New Roman" w:cs="Times New Roman"/>
          <w:sz w:val="24"/>
          <w:szCs w:val="24"/>
          <w:lang w:val="uk-UA"/>
        </w:rPr>
        <w:t xml:space="preserve"> за допущені помилки тощо</w:t>
      </w:r>
      <w:r w:rsidR="004E04B7" w:rsidRPr="00907B93">
        <w:rPr>
          <w:rFonts w:ascii="Times New Roman" w:hAnsi="Times New Roman" w:cs="Times New Roman"/>
          <w:sz w:val="24"/>
          <w:szCs w:val="24"/>
          <w:lang w:val="uk-UA"/>
        </w:rPr>
        <w:t>)</w:t>
      </w:r>
      <w:r w:rsidR="00DA0E9E" w:rsidRPr="00907B93">
        <w:rPr>
          <w:rFonts w:ascii="Times New Roman" w:hAnsi="Times New Roman" w:cs="Times New Roman"/>
          <w:sz w:val="24"/>
          <w:szCs w:val="24"/>
          <w:lang w:val="uk-UA"/>
        </w:rPr>
        <w:t xml:space="preserve">, а на неоднаковому застосуванні </w:t>
      </w:r>
      <w:r w:rsidR="00A145EC" w:rsidRPr="00907B93">
        <w:rPr>
          <w:rFonts w:ascii="Times New Roman" w:hAnsi="Times New Roman" w:cs="Times New Roman"/>
          <w:sz w:val="24"/>
          <w:szCs w:val="24"/>
          <w:lang w:val="uk-UA"/>
        </w:rPr>
        <w:t xml:space="preserve">у державі </w:t>
      </w:r>
      <w:r w:rsidR="00DA0E9E" w:rsidRPr="00907B93">
        <w:rPr>
          <w:rFonts w:ascii="Times New Roman" w:hAnsi="Times New Roman" w:cs="Times New Roman"/>
          <w:sz w:val="24"/>
          <w:szCs w:val="24"/>
          <w:lang w:val="uk-UA"/>
        </w:rPr>
        <w:t xml:space="preserve">норм про фінансове забезпечення </w:t>
      </w:r>
      <w:r w:rsidR="00A145EC" w:rsidRPr="00907B93">
        <w:rPr>
          <w:rFonts w:ascii="Times New Roman" w:hAnsi="Times New Roman" w:cs="Times New Roman"/>
          <w:sz w:val="24"/>
          <w:szCs w:val="24"/>
          <w:lang w:val="uk-UA"/>
        </w:rPr>
        <w:t xml:space="preserve">у компетенційних законах стосовно </w:t>
      </w:r>
      <w:r w:rsidR="008030A2" w:rsidRPr="00907B93">
        <w:rPr>
          <w:rFonts w:ascii="Times New Roman" w:hAnsi="Times New Roman" w:cs="Times New Roman"/>
          <w:sz w:val="24"/>
          <w:szCs w:val="24"/>
          <w:lang w:val="uk-UA"/>
        </w:rPr>
        <w:t>представників різних професій. М</w:t>
      </w:r>
      <w:r w:rsidR="008906B4" w:rsidRPr="00907B93">
        <w:rPr>
          <w:rFonts w:ascii="Times New Roman" w:hAnsi="Times New Roman" w:cs="Times New Roman"/>
          <w:sz w:val="24"/>
          <w:szCs w:val="24"/>
          <w:lang w:val="uk-UA"/>
        </w:rPr>
        <w:t xml:space="preserve">ова йде про те, що відповідні положення </w:t>
      </w:r>
      <w:r w:rsidR="008030A2" w:rsidRPr="00907B93">
        <w:rPr>
          <w:rFonts w:ascii="Times New Roman" w:hAnsi="Times New Roman" w:cs="Times New Roman"/>
          <w:sz w:val="24"/>
          <w:szCs w:val="24"/>
          <w:lang w:val="uk-UA"/>
        </w:rPr>
        <w:t xml:space="preserve">про фінансове забезпечення співробітників із </w:t>
      </w:r>
      <w:r w:rsidR="008906B4" w:rsidRPr="00907B93">
        <w:rPr>
          <w:rFonts w:ascii="Times New Roman" w:hAnsi="Times New Roman" w:cs="Times New Roman"/>
          <w:sz w:val="24"/>
          <w:szCs w:val="24"/>
          <w:lang w:val="uk-UA"/>
        </w:rPr>
        <w:t xml:space="preserve">законів України «Про Державне бюро розслідувань» та «Про судоустрій і статус суддів» виконуються із моменту набуття цими законами </w:t>
      </w:r>
      <w:r w:rsidR="00937F69" w:rsidRPr="00907B93">
        <w:rPr>
          <w:rFonts w:ascii="Times New Roman" w:hAnsi="Times New Roman" w:cs="Times New Roman"/>
          <w:sz w:val="24"/>
          <w:szCs w:val="24"/>
          <w:lang w:val="uk-UA"/>
        </w:rPr>
        <w:t xml:space="preserve">або цими положеннями </w:t>
      </w:r>
      <w:r w:rsidR="008906B4" w:rsidRPr="00907B93">
        <w:rPr>
          <w:rFonts w:ascii="Times New Roman" w:hAnsi="Times New Roman" w:cs="Times New Roman"/>
          <w:sz w:val="24"/>
          <w:szCs w:val="24"/>
          <w:lang w:val="uk-UA"/>
        </w:rPr>
        <w:t xml:space="preserve">чинності, а відповідні положення законів України «Про освіту» і «Про наукову і науково-технічну діяльність» </w:t>
      </w:r>
      <w:r w:rsidR="008030A2" w:rsidRPr="00907B93">
        <w:rPr>
          <w:rFonts w:ascii="Times New Roman" w:hAnsi="Times New Roman" w:cs="Times New Roman"/>
          <w:sz w:val="24"/>
          <w:szCs w:val="24"/>
          <w:lang w:val="uk-UA"/>
        </w:rPr>
        <w:t xml:space="preserve">постійно відкладаються у часі і мали б почати виконуватися тільки з </w:t>
      </w:r>
      <w:r w:rsidR="008906B4" w:rsidRPr="00907B93">
        <w:rPr>
          <w:rFonts w:ascii="Times New Roman" w:hAnsi="Times New Roman" w:cs="Times New Roman"/>
          <w:sz w:val="24"/>
          <w:szCs w:val="24"/>
          <w:lang w:val="uk-UA"/>
        </w:rPr>
        <w:t>1</w:t>
      </w:r>
      <w:r w:rsidR="008030A2" w:rsidRPr="00907B93">
        <w:rPr>
          <w:rFonts w:ascii="Times New Roman" w:hAnsi="Times New Roman" w:cs="Times New Roman"/>
          <w:sz w:val="24"/>
          <w:szCs w:val="24"/>
          <w:lang w:val="uk-UA"/>
        </w:rPr>
        <w:t xml:space="preserve"> січня </w:t>
      </w:r>
      <w:r w:rsidR="008906B4" w:rsidRPr="00907B93">
        <w:rPr>
          <w:rFonts w:ascii="Times New Roman" w:hAnsi="Times New Roman" w:cs="Times New Roman"/>
          <w:sz w:val="24"/>
          <w:szCs w:val="24"/>
          <w:lang w:val="uk-UA"/>
        </w:rPr>
        <w:t>2023</w:t>
      </w:r>
      <w:r w:rsidR="008030A2" w:rsidRPr="00907B93">
        <w:rPr>
          <w:rFonts w:ascii="Times New Roman" w:hAnsi="Times New Roman" w:cs="Times New Roman"/>
          <w:sz w:val="24"/>
          <w:szCs w:val="24"/>
          <w:lang w:val="uk-UA"/>
        </w:rPr>
        <w:t> року</w:t>
      </w:r>
      <w:r w:rsidR="00DA0E9E" w:rsidRPr="00907B93">
        <w:rPr>
          <w:rFonts w:ascii="Times New Roman" w:hAnsi="Times New Roman" w:cs="Times New Roman"/>
          <w:sz w:val="24"/>
          <w:szCs w:val="24"/>
          <w:lang w:val="uk-UA"/>
        </w:rPr>
        <w:t xml:space="preserve"> [</w:t>
      </w:r>
      <w:r w:rsidR="001340FB" w:rsidRPr="00907B93">
        <w:rPr>
          <w:rFonts w:ascii="Times New Roman" w:hAnsi="Times New Roman" w:cs="Times New Roman"/>
          <w:sz w:val="24"/>
          <w:szCs w:val="24"/>
          <w:lang w:val="uk-UA"/>
        </w:rPr>
        <w:t>2</w:t>
      </w:r>
      <w:r w:rsidR="001340FB" w:rsidRPr="00907B93">
        <w:rPr>
          <w:rStyle w:val="a5"/>
          <w:rFonts w:ascii="Times New Roman" w:hAnsi="Times New Roman" w:cs="Times New Roman"/>
          <w:color w:val="auto"/>
          <w:sz w:val="24"/>
          <w:szCs w:val="24"/>
          <w:u w:val="none"/>
          <w:lang w:val="uk-UA"/>
        </w:rPr>
        <w:t>, </w:t>
      </w:r>
      <w:r w:rsidR="00DA0E9E" w:rsidRPr="00907B93">
        <w:rPr>
          <w:rFonts w:ascii="Times New Roman" w:hAnsi="Times New Roman" w:cs="Times New Roman"/>
          <w:sz w:val="24"/>
          <w:szCs w:val="24"/>
          <w:lang w:val="uk-UA"/>
        </w:rPr>
        <w:t>с. 97]</w:t>
      </w:r>
      <w:r w:rsidR="00937F69" w:rsidRPr="00907B93">
        <w:rPr>
          <w:rFonts w:ascii="Times New Roman" w:hAnsi="Times New Roman" w:cs="Times New Roman"/>
          <w:sz w:val="24"/>
          <w:szCs w:val="24"/>
          <w:lang w:val="uk-UA"/>
        </w:rPr>
        <w:t>, проте так і не почали</w:t>
      </w:r>
      <w:r w:rsidR="008906B4" w:rsidRPr="00907B93">
        <w:rPr>
          <w:rFonts w:ascii="Times New Roman" w:hAnsi="Times New Roman" w:cs="Times New Roman"/>
          <w:sz w:val="24"/>
          <w:szCs w:val="24"/>
          <w:lang w:val="uk-UA"/>
        </w:rPr>
        <w:t>.</w:t>
      </w:r>
      <w:r w:rsidR="008030A2" w:rsidRPr="00907B93">
        <w:rPr>
          <w:rFonts w:ascii="Times New Roman" w:hAnsi="Times New Roman" w:cs="Times New Roman"/>
          <w:sz w:val="24"/>
          <w:szCs w:val="24"/>
          <w:lang w:val="uk-UA"/>
        </w:rPr>
        <w:t xml:space="preserve"> Питання у тому, що працівники, які отримують зарплату (суддівську винагороду) із державного бюджету України на основі положень законів України «Про Державне бюро розслідувань», «Про судоустрій і статус суддів», «Про освіту», «Про наукову і науково-технічну діяльність», прямо не беруть участь у воєнних діях. Тому не можна казати, що </w:t>
      </w:r>
      <w:r w:rsidR="00937F69" w:rsidRPr="00907B93">
        <w:rPr>
          <w:rFonts w:ascii="Times New Roman" w:hAnsi="Times New Roman" w:cs="Times New Roman"/>
          <w:sz w:val="24"/>
          <w:szCs w:val="24"/>
          <w:lang w:val="uk-UA"/>
        </w:rPr>
        <w:t>у держава має</w:t>
      </w:r>
      <w:r w:rsidR="008030A2" w:rsidRPr="00907B93">
        <w:rPr>
          <w:rFonts w:ascii="Times New Roman" w:hAnsi="Times New Roman" w:cs="Times New Roman"/>
          <w:sz w:val="24"/>
          <w:szCs w:val="24"/>
          <w:lang w:val="uk-UA"/>
        </w:rPr>
        <w:t xml:space="preserve"> підстави </w:t>
      </w:r>
      <w:r w:rsidR="00C10D4F" w:rsidRPr="00907B93">
        <w:rPr>
          <w:rFonts w:ascii="Times New Roman" w:hAnsi="Times New Roman" w:cs="Times New Roman"/>
          <w:sz w:val="24"/>
          <w:szCs w:val="24"/>
          <w:lang w:val="uk-UA"/>
        </w:rPr>
        <w:t xml:space="preserve">ставити пріоритет </w:t>
      </w:r>
      <w:r w:rsidR="008030A2" w:rsidRPr="00907B93">
        <w:rPr>
          <w:rFonts w:ascii="Times New Roman" w:hAnsi="Times New Roman" w:cs="Times New Roman"/>
          <w:sz w:val="24"/>
          <w:szCs w:val="24"/>
          <w:lang w:val="uk-UA"/>
        </w:rPr>
        <w:t>фінансово</w:t>
      </w:r>
      <w:r w:rsidR="00C10D4F" w:rsidRPr="00907B93">
        <w:rPr>
          <w:rFonts w:ascii="Times New Roman" w:hAnsi="Times New Roman" w:cs="Times New Roman"/>
          <w:sz w:val="24"/>
          <w:szCs w:val="24"/>
          <w:lang w:val="uk-UA"/>
        </w:rPr>
        <w:t>го забезпечення</w:t>
      </w:r>
      <w:r w:rsidR="008030A2" w:rsidRPr="00907B93">
        <w:rPr>
          <w:rFonts w:ascii="Times New Roman" w:hAnsi="Times New Roman" w:cs="Times New Roman"/>
          <w:sz w:val="24"/>
          <w:szCs w:val="24"/>
          <w:lang w:val="uk-UA"/>
        </w:rPr>
        <w:t xml:space="preserve"> одних </w:t>
      </w:r>
      <w:r w:rsidR="00C10D4F" w:rsidRPr="00907B93">
        <w:rPr>
          <w:rFonts w:ascii="Times New Roman" w:hAnsi="Times New Roman" w:cs="Times New Roman"/>
          <w:sz w:val="24"/>
          <w:szCs w:val="24"/>
          <w:lang w:val="uk-UA"/>
        </w:rPr>
        <w:t>за рахунок інших. Обрані для прикладу співробітники ДБР, судді, освітяни і науковці, які не є військовослужбовцями, формально є рівними громадянами держави і мають знаходитися на одному щаблі фінансового забезпечення. Тому стосовно них у рівній мірі має застосовуватися положення статті 21 Конституції України про те, що «Усі люди є вільні і рівні у своїй гідності та правах…» [</w:t>
      </w:r>
      <w:r w:rsidR="001340FB" w:rsidRPr="00907B93">
        <w:rPr>
          <w:rFonts w:ascii="Times New Roman" w:hAnsi="Times New Roman" w:cs="Times New Roman"/>
          <w:sz w:val="24"/>
          <w:szCs w:val="24"/>
          <w:lang w:val="uk-UA"/>
        </w:rPr>
        <w:t>3</w:t>
      </w:r>
      <w:r w:rsidR="00C10D4F" w:rsidRPr="00907B93">
        <w:rPr>
          <w:rFonts w:ascii="Times New Roman" w:hAnsi="Times New Roman" w:cs="Times New Roman"/>
          <w:sz w:val="24"/>
          <w:szCs w:val="24"/>
          <w:lang w:val="uk-UA"/>
        </w:rPr>
        <w:t>].</w:t>
      </w:r>
    </w:p>
    <w:p w:rsidR="00EE111F" w:rsidRPr="00907B93" w:rsidRDefault="00EE111F"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Названими </w:t>
      </w:r>
      <w:r w:rsidR="00937F69" w:rsidRPr="00907B93">
        <w:rPr>
          <w:rFonts w:ascii="Times New Roman" w:hAnsi="Times New Roman" w:cs="Times New Roman"/>
          <w:sz w:val="24"/>
          <w:szCs w:val="24"/>
          <w:lang w:val="uk-UA"/>
        </w:rPr>
        <w:t xml:space="preserve">вище </w:t>
      </w:r>
      <w:r w:rsidRPr="00907B93">
        <w:rPr>
          <w:rFonts w:ascii="Times New Roman" w:hAnsi="Times New Roman" w:cs="Times New Roman"/>
          <w:sz w:val="24"/>
          <w:szCs w:val="24"/>
          <w:lang w:val="uk-UA"/>
        </w:rPr>
        <w:t>законами передбачено більш високі оклади і, відповідно, зарплати співробітників ДБР у порівнянн</w:t>
      </w:r>
      <w:r w:rsidR="00937F69" w:rsidRPr="00907B93">
        <w:rPr>
          <w:rFonts w:ascii="Times New Roman" w:hAnsi="Times New Roman" w:cs="Times New Roman"/>
          <w:sz w:val="24"/>
          <w:szCs w:val="24"/>
          <w:lang w:val="uk-UA"/>
        </w:rPr>
        <w:t>і із співробітниками ОВС, які викону</w:t>
      </w:r>
      <w:r w:rsidRPr="00907B93">
        <w:rPr>
          <w:rFonts w:ascii="Times New Roman" w:hAnsi="Times New Roman" w:cs="Times New Roman"/>
          <w:sz w:val="24"/>
          <w:szCs w:val="24"/>
          <w:lang w:val="uk-UA"/>
        </w:rPr>
        <w:t>ють</w:t>
      </w:r>
      <w:r w:rsidR="00937F69" w:rsidRPr="00907B93">
        <w:rPr>
          <w:rFonts w:ascii="Times New Roman" w:hAnsi="Times New Roman" w:cs="Times New Roman"/>
          <w:sz w:val="24"/>
          <w:szCs w:val="24"/>
          <w:lang w:val="uk-UA"/>
        </w:rPr>
        <w:t xml:space="preserve"> в цілому дуже</w:t>
      </w:r>
      <w:r w:rsidRPr="00907B93">
        <w:rPr>
          <w:rFonts w:ascii="Times New Roman" w:hAnsi="Times New Roman" w:cs="Times New Roman"/>
          <w:sz w:val="24"/>
          <w:szCs w:val="24"/>
          <w:lang w:val="uk-UA"/>
        </w:rPr>
        <w:t xml:space="preserve"> схожі службові завдання; </w:t>
      </w:r>
      <w:r w:rsidR="00937F69" w:rsidRPr="00907B93">
        <w:rPr>
          <w:rFonts w:ascii="Times New Roman" w:hAnsi="Times New Roman" w:cs="Times New Roman"/>
          <w:sz w:val="24"/>
          <w:szCs w:val="24"/>
          <w:lang w:val="uk-UA"/>
        </w:rPr>
        <w:t xml:space="preserve">передбачено </w:t>
      </w:r>
      <w:r w:rsidRPr="00907B93">
        <w:rPr>
          <w:rFonts w:ascii="Times New Roman" w:hAnsi="Times New Roman" w:cs="Times New Roman"/>
          <w:sz w:val="24"/>
          <w:szCs w:val="24"/>
          <w:lang w:val="uk-UA"/>
        </w:rPr>
        <w:t>високі розміри суддівської винагороди у порівнянні із окладами і заробітними платами усіх інших працівників в Україні, а також пріоритетне забезпеч</w:t>
      </w:r>
      <w:r w:rsidR="002F13A0" w:rsidRPr="00907B93">
        <w:rPr>
          <w:rFonts w:ascii="Times New Roman" w:hAnsi="Times New Roman" w:cs="Times New Roman"/>
          <w:sz w:val="24"/>
          <w:szCs w:val="24"/>
          <w:lang w:val="uk-UA"/>
        </w:rPr>
        <w:t xml:space="preserve">ення суддів житлом (що реально виконується); </w:t>
      </w:r>
      <w:r w:rsidR="00937F69" w:rsidRPr="00907B93">
        <w:rPr>
          <w:rFonts w:ascii="Times New Roman" w:hAnsi="Times New Roman" w:cs="Times New Roman"/>
          <w:sz w:val="24"/>
          <w:szCs w:val="24"/>
          <w:lang w:val="uk-UA"/>
        </w:rPr>
        <w:t xml:space="preserve">передбачено, що </w:t>
      </w:r>
      <w:r w:rsidR="002F13A0" w:rsidRPr="00907B93">
        <w:rPr>
          <w:rFonts w:ascii="Times New Roman" w:hAnsi="Times New Roman" w:cs="Times New Roman"/>
          <w:sz w:val="24"/>
          <w:szCs w:val="24"/>
          <w:lang w:val="uk-UA"/>
        </w:rPr>
        <w:t xml:space="preserve">викладачі і науковці мають щорічну оплачувану відпустку розміром 56 днів. </w:t>
      </w:r>
      <w:r w:rsidR="003D70FC" w:rsidRPr="00907B93">
        <w:rPr>
          <w:rFonts w:ascii="Times New Roman" w:hAnsi="Times New Roman" w:cs="Times New Roman"/>
          <w:sz w:val="24"/>
          <w:szCs w:val="24"/>
          <w:lang w:val="uk-UA"/>
        </w:rPr>
        <w:t xml:space="preserve">Ці питання зараз не обговорюються, а більш висока суддівська винагорода, наприклад, </w:t>
      </w:r>
      <w:r w:rsidR="00937F69" w:rsidRPr="00907B93">
        <w:rPr>
          <w:rFonts w:ascii="Times New Roman" w:hAnsi="Times New Roman" w:cs="Times New Roman"/>
          <w:sz w:val="24"/>
          <w:szCs w:val="24"/>
          <w:lang w:val="uk-UA"/>
        </w:rPr>
        <w:t xml:space="preserve">у порівнянні </w:t>
      </w:r>
      <w:r w:rsidR="003D70FC" w:rsidRPr="00907B93">
        <w:rPr>
          <w:rFonts w:ascii="Times New Roman" w:hAnsi="Times New Roman" w:cs="Times New Roman"/>
          <w:sz w:val="24"/>
          <w:szCs w:val="24"/>
          <w:lang w:val="uk-UA"/>
        </w:rPr>
        <w:t>із зарплатою професора чи ректора</w:t>
      </w:r>
      <w:r w:rsidR="00937F69" w:rsidRPr="00907B93">
        <w:rPr>
          <w:rFonts w:ascii="Times New Roman" w:hAnsi="Times New Roman" w:cs="Times New Roman"/>
          <w:sz w:val="24"/>
          <w:szCs w:val="24"/>
          <w:lang w:val="uk-UA"/>
        </w:rPr>
        <w:t>,</w:t>
      </w:r>
      <w:r w:rsidR="003D70FC" w:rsidRPr="00907B93">
        <w:rPr>
          <w:rFonts w:ascii="Times New Roman" w:hAnsi="Times New Roman" w:cs="Times New Roman"/>
          <w:sz w:val="24"/>
          <w:szCs w:val="24"/>
          <w:lang w:val="uk-UA"/>
        </w:rPr>
        <w:t xml:space="preserve"> обґрунтовується вищим ступенем відповідальн</w:t>
      </w:r>
      <w:r w:rsidR="00FD7B6A" w:rsidRPr="00907B93">
        <w:rPr>
          <w:rFonts w:ascii="Times New Roman" w:hAnsi="Times New Roman" w:cs="Times New Roman"/>
          <w:sz w:val="24"/>
          <w:szCs w:val="24"/>
          <w:lang w:val="uk-UA"/>
        </w:rPr>
        <w:t>ості судді за прийняті рішення.</w:t>
      </w:r>
    </w:p>
    <w:p w:rsidR="00FD7B6A" w:rsidRPr="00907B93" w:rsidRDefault="00FD7B6A"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Нерівність за професійною ознакою знаходить підтвердження у тому, що правові норми про фінансове забезпечення співробітників ДБР і суддів виконуються у стовідсотковому розмірі одразу із моменту набуття чинності цими нормами, а норми про фінансове забезпечення педагогічних, науково-педагогічних і наукових співробітників не набули чинності до сьогодні.</w:t>
      </w:r>
    </w:p>
    <w:p w:rsidR="00831201" w:rsidRPr="00907B93" w:rsidRDefault="00747698"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Тому можна повторити нашу попередню пропозицію законотворцеві: </w:t>
      </w:r>
      <w:r w:rsidR="00831201" w:rsidRPr="00907B93">
        <w:rPr>
          <w:rFonts w:ascii="Times New Roman" w:hAnsi="Times New Roman" w:cs="Times New Roman"/>
          <w:sz w:val="24"/>
          <w:szCs w:val="24"/>
          <w:lang w:val="uk-UA"/>
        </w:rPr>
        <w:t xml:space="preserve">декларувати і реалізувати рівність посадових осіб виконавчої та судової гілок влади із іншими громадянами на прикладі викладачів і науковців. Це можливо зробити за допомогою внесень доповнень до </w:t>
      </w:r>
      <w:r w:rsidRPr="00907B93">
        <w:rPr>
          <w:rFonts w:ascii="Times New Roman" w:hAnsi="Times New Roman" w:cs="Times New Roman"/>
          <w:sz w:val="24"/>
          <w:szCs w:val="24"/>
          <w:lang w:val="uk-UA"/>
        </w:rPr>
        <w:t>щорічних законів п</w:t>
      </w:r>
      <w:r w:rsidR="00831201" w:rsidRPr="00907B93">
        <w:rPr>
          <w:rFonts w:ascii="Times New Roman" w:hAnsi="Times New Roman" w:cs="Times New Roman"/>
          <w:sz w:val="24"/>
          <w:szCs w:val="24"/>
          <w:lang w:val="uk-UA"/>
        </w:rPr>
        <w:t xml:space="preserve">ро державний бюджет України на </w:t>
      </w:r>
      <w:r w:rsidRPr="00907B93">
        <w:rPr>
          <w:rFonts w:ascii="Times New Roman" w:hAnsi="Times New Roman" w:cs="Times New Roman"/>
          <w:sz w:val="24"/>
          <w:szCs w:val="24"/>
          <w:lang w:val="uk-UA"/>
        </w:rPr>
        <w:t>відповідний рік, беручи за зразок норму із частини третьої статті</w:t>
      </w:r>
      <w:r w:rsidR="00831201" w:rsidRPr="00907B93">
        <w:rPr>
          <w:rFonts w:ascii="Times New Roman" w:hAnsi="Times New Roman" w:cs="Times New Roman"/>
          <w:sz w:val="24"/>
          <w:szCs w:val="24"/>
          <w:lang w:val="uk-UA"/>
        </w:rPr>
        <w:t xml:space="preserve"> 64 «Черговість задоволення вимог кредиторів» Кодексу України з процедур банкрутства. Має бути законодавчо визначено, що у випадку наявного дефіциту бюджету норми законодавства про оплату праці працівникам бюджетних установ, підприємств та організацій повинні виконуватися для усіх таких співробітників пропорційно до розмірів їхніх окладів залежно від наявного розміру видатків бюджету на ці статті витрат</w:t>
      </w:r>
      <w:r w:rsidRPr="00907B93">
        <w:rPr>
          <w:rFonts w:ascii="Times New Roman" w:hAnsi="Times New Roman" w:cs="Times New Roman"/>
          <w:sz w:val="24"/>
          <w:szCs w:val="24"/>
          <w:lang w:val="uk-UA"/>
        </w:rPr>
        <w:t xml:space="preserve"> [</w:t>
      </w:r>
      <w:r w:rsidR="001340FB" w:rsidRPr="00907B93">
        <w:rPr>
          <w:rFonts w:ascii="Times New Roman" w:hAnsi="Times New Roman" w:cs="Times New Roman"/>
          <w:sz w:val="24"/>
          <w:szCs w:val="24"/>
          <w:lang w:val="uk-UA"/>
        </w:rPr>
        <w:t>2</w:t>
      </w:r>
      <w:r w:rsidR="001340FB" w:rsidRPr="00907B93">
        <w:rPr>
          <w:rStyle w:val="a5"/>
          <w:rFonts w:ascii="Times New Roman" w:hAnsi="Times New Roman" w:cs="Times New Roman"/>
          <w:color w:val="auto"/>
          <w:sz w:val="24"/>
          <w:szCs w:val="24"/>
          <w:u w:val="none"/>
          <w:lang w:val="uk-UA"/>
        </w:rPr>
        <w:t>, </w:t>
      </w:r>
      <w:r w:rsidRPr="00907B93">
        <w:rPr>
          <w:rFonts w:ascii="Times New Roman" w:hAnsi="Times New Roman" w:cs="Times New Roman"/>
          <w:sz w:val="24"/>
          <w:szCs w:val="24"/>
          <w:lang w:val="uk-UA"/>
        </w:rPr>
        <w:t>с. 99]</w:t>
      </w:r>
      <w:r w:rsidR="00831201" w:rsidRPr="00907B93">
        <w:rPr>
          <w:rFonts w:ascii="Times New Roman" w:hAnsi="Times New Roman" w:cs="Times New Roman"/>
          <w:sz w:val="24"/>
          <w:szCs w:val="24"/>
          <w:lang w:val="uk-UA"/>
        </w:rPr>
        <w:t>.</w:t>
      </w:r>
    </w:p>
    <w:p w:rsidR="00B4060A" w:rsidRPr="00907B93" w:rsidRDefault="00937F69"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lastRenderedPageBreak/>
        <w:t>Р</w:t>
      </w:r>
      <w:r w:rsidR="00747698" w:rsidRPr="00907B93">
        <w:rPr>
          <w:rFonts w:ascii="Times New Roman" w:hAnsi="Times New Roman" w:cs="Times New Roman"/>
          <w:sz w:val="24"/>
          <w:szCs w:val="24"/>
          <w:lang w:val="uk-UA"/>
        </w:rPr>
        <w:t xml:space="preserve">еалізація </w:t>
      </w:r>
      <w:r w:rsidRPr="00907B93">
        <w:rPr>
          <w:rFonts w:ascii="Times New Roman" w:hAnsi="Times New Roman" w:cs="Times New Roman"/>
          <w:sz w:val="24"/>
          <w:szCs w:val="24"/>
          <w:lang w:val="uk-UA"/>
        </w:rPr>
        <w:t>зроблених вище</w:t>
      </w:r>
      <w:r w:rsidR="00747698" w:rsidRPr="00907B93">
        <w:rPr>
          <w:rFonts w:ascii="Times New Roman" w:hAnsi="Times New Roman" w:cs="Times New Roman"/>
          <w:sz w:val="24"/>
          <w:szCs w:val="24"/>
          <w:lang w:val="uk-UA"/>
        </w:rPr>
        <w:t xml:space="preserve"> пропозицій була б доцільною</w:t>
      </w:r>
      <w:r w:rsidRPr="00907B93">
        <w:rPr>
          <w:rFonts w:ascii="Times New Roman" w:hAnsi="Times New Roman" w:cs="Times New Roman"/>
          <w:sz w:val="24"/>
          <w:szCs w:val="24"/>
          <w:lang w:val="uk-UA"/>
        </w:rPr>
        <w:t xml:space="preserve"> і своєчасною</w:t>
      </w:r>
      <w:r w:rsidR="00747698" w:rsidRPr="00907B93">
        <w:rPr>
          <w:rFonts w:ascii="Times New Roman" w:hAnsi="Times New Roman" w:cs="Times New Roman"/>
          <w:sz w:val="24"/>
          <w:szCs w:val="24"/>
          <w:lang w:val="uk-UA"/>
        </w:rPr>
        <w:t xml:space="preserve"> для законотворця саме під час дії воєнного стану та</w:t>
      </w:r>
      <w:r w:rsidRPr="00907B93">
        <w:rPr>
          <w:rFonts w:ascii="Times New Roman" w:hAnsi="Times New Roman" w:cs="Times New Roman"/>
          <w:sz w:val="24"/>
          <w:szCs w:val="24"/>
          <w:lang w:val="uk-UA"/>
        </w:rPr>
        <w:t xml:space="preserve"> наявності</w:t>
      </w:r>
      <w:r w:rsidR="00747698" w:rsidRPr="00907B93">
        <w:rPr>
          <w:rFonts w:ascii="Times New Roman" w:hAnsi="Times New Roman" w:cs="Times New Roman"/>
          <w:sz w:val="24"/>
          <w:szCs w:val="24"/>
          <w:lang w:val="uk-UA"/>
        </w:rPr>
        <w:t xml:space="preserve"> морального і політичного напруження у суспільстві. Новини у ЗМІ і соціальних мережах про те, що суддя, підозрюваний у тяжких злочинах, під час фізичного знаходження у слідчому ізоляторі протягом декількох місяців отримує суддівську винагороду, доплати і премії у розмірах по кілька сотень тисяч гривень на місяць, аж ніяк не сприяють консолідації суспільства</w:t>
      </w:r>
      <w:r w:rsidRPr="00907B93">
        <w:rPr>
          <w:rFonts w:ascii="Times New Roman" w:hAnsi="Times New Roman" w:cs="Times New Roman"/>
          <w:sz w:val="24"/>
          <w:szCs w:val="24"/>
          <w:lang w:val="uk-UA"/>
        </w:rPr>
        <w:t>, яке безупинно донатить із переважно дуже низьких зарплат і пенсій на різноманітні потреби армії</w:t>
      </w:r>
      <w:r w:rsidR="00747698" w:rsidRPr="00907B93">
        <w:rPr>
          <w:rFonts w:ascii="Times New Roman" w:hAnsi="Times New Roman" w:cs="Times New Roman"/>
          <w:sz w:val="24"/>
          <w:szCs w:val="24"/>
          <w:lang w:val="uk-UA"/>
        </w:rPr>
        <w:t>.</w:t>
      </w:r>
    </w:p>
    <w:p w:rsidR="00831201" w:rsidRPr="00907B93" w:rsidRDefault="00140BC3"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Друге питання, яке постає у зв’язку із забезпеченням рівності громадян і захисту їх прав і свобод в умовах воєнного стану, є питання про </w:t>
      </w:r>
      <w:r w:rsidR="00B4060A" w:rsidRPr="00907B93">
        <w:rPr>
          <w:rFonts w:ascii="Times New Roman" w:hAnsi="Times New Roman" w:cs="Times New Roman"/>
          <w:sz w:val="24"/>
          <w:szCs w:val="24"/>
          <w:lang w:val="uk-UA"/>
        </w:rPr>
        <w:t xml:space="preserve">доцільність чи недоцільність </w:t>
      </w:r>
      <w:r w:rsidRPr="00907B93">
        <w:rPr>
          <w:rFonts w:ascii="Times New Roman" w:hAnsi="Times New Roman" w:cs="Times New Roman"/>
          <w:sz w:val="24"/>
          <w:szCs w:val="24"/>
          <w:lang w:val="uk-UA"/>
        </w:rPr>
        <w:t xml:space="preserve">позбавлення громадянства України. </w:t>
      </w:r>
      <w:r w:rsidR="00B4060A" w:rsidRPr="00907B93">
        <w:rPr>
          <w:rFonts w:ascii="Times New Roman" w:hAnsi="Times New Roman" w:cs="Times New Roman"/>
          <w:sz w:val="24"/>
          <w:szCs w:val="24"/>
          <w:lang w:val="uk-UA"/>
        </w:rPr>
        <w:t>Уперше питання про позбавлення громадянства України за підтверджені звинувачення у сепаратизмі і тероризмі піднімалися після 2014 року, тобто після початку гібридної війни проти України. Іще у 2017 році нами давалися відповіді на це питання [</w:t>
      </w:r>
      <w:r w:rsidR="001340FB" w:rsidRPr="00907B93">
        <w:rPr>
          <w:rFonts w:ascii="Times New Roman" w:hAnsi="Times New Roman" w:cs="Times New Roman"/>
          <w:sz w:val="24"/>
          <w:szCs w:val="24"/>
          <w:lang w:val="uk-UA"/>
        </w:rPr>
        <w:t>4</w:t>
      </w:r>
      <w:r w:rsidR="00B4060A" w:rsidRPr="00907B93">
        <w:rPr>
          <w:rFonts w:ascii="Times New Roman" w:hAnsi="Times New Roman" w:cs="Times New Roman"/>
          <w:sz w:val="24"/>
          <w:szCs w:val="24"/>
          <w:lang w:val="uk-UA"/>
        </w:rPr>
        <w:t>]. Сьогодні після окупації московією (російською федерацією) кількох українських міст, пропагандистські ресурси транслюють відео із підтримкою</w:t>
      </w:r>
      <w:r w:rsidR="00937F69" w:rsidRPr="00907B93">
        <w:rPr>
          <w:rFonts w:ascii="Times New Roman" w:hAnsi="Times New Roman" w:cs="Times New Roman"/>
          <w:sz w:val="24"/>
          <w:szCs w:val="24"/>
          <w:lang w:val="uk-UA"/>
        </w:rPr>
        <w:t xml:space="preserve"> дій окупантів</w:t>
      </w:r>
      <w:r w:rsidR="00B4060A" w:rsidRPr="00907B93">
        <w:rPr>
          <w:rFonts w:ascii="Times New Roman" w:hAnsi="Times New Roman" w:cs="Times New Roman"/>
          <w:sz w:val="24"/>
          <w:szCs w:val="24"/>
          <w:lang w:val="uk-UA"/>
        </w:rPr>
        <w:t xml:space="preserve"> від окремих місцевих мешканців. </w:t>
      </w:r>
      <w:r w:rsidR="003F0A21" w:rsidRPr="00907B93">
        <w:rPr>
          <w:rFonts w:ascii="Times New Roman" w:hAnsi="Times New Roman" w:cs="Times New Roman"/>
          <w:sz w:val="24"/>
          <w:szCs w:val="24"/>
          <w:lang w:val="uk-UA"/>
        </w:rPr>
        <w:t>Зрозуміло, що</w:t>
      </w:r>
      <w:r w:rsidR="00937F69" w:rsidRPr="00907B93">
        <w:rPr>
          <w:rFonts w:ascii="Times New Roman" w:hAnsi="Times New Roman" w:cs="Times New Roman"/>
          <w:sz w:val="24"/>
          <w:szCs w:val="24"/>
          <w:lang w:val="uk-UA"/>
        </w:rPr>
        <w:t xml:space="preserve"> абсолютна більшість із них знімає</w:t>
      </w:r>
      <w:r w:rsidR="003F0A21" w:rsidRPr="00907B93">
        <w:rPr>
          <w:rFonts w:ascii="Times New Roman" w:hAnsi="Times New Roman" w:cs="Times New Roman"/>
          <w:sz w:val="24"/>
          <w:szCs w:val="24"/>
          <w:lang w:val="uk-UA"/>
        </w:rPr>
        <w:t>ться під тиском і погрозами, але певна частина – цілком свідомо.</w:t>
      </w:r>
      <w:r w:rsidR="00E95EB2" w:rsidRPr="00907B93">
        <w:rPr>
          <w:rFonts w:ascii="Times New Roman" w:hAnsi="Times New Roman" w:cs="Times New Roman"/>
          <w:sz w:val="24"/>
          <w:szCs w:val="24"/>
          <w:lang w:val="uk-UA"/>
        </w:rPr>
        <w:t xml:space="preserve"> Тому пропозиції про примусове позбавлення громадянства України сепаратистів і зрадників України знову з’явилися в інформаційному просторі.</w:t>
      </w:r>
    </w:p>
    <w:p w:rsidR="00230C55" w:rsidRPr="00907B93" w:rsidRDefault="00701F7A"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На </w:t>
      </w:r>
      <w:r w:rsidR="00937F69" w:rsidRPr="00907B93">
        <w:rPr>
          <w:rFonts w:ascii="Times New Roman" w:hAnsi="Times New Roman" w:cs="Times New Roman"/>
          <w:sz w:val="24"/>
          <w:szCs w:val="24"/>
          <w:lang w:val="uk-UA"/>
        </w:rPr>
        <w:t xml:space="preserve">викладене у попередньому абзаці </w:t>
      </w:r>
      <w:r w:rsidRPr="00907B93">
        <w:rPr>
          <w:rFonts w:ascii="Times New Roman" w:hAnsi="Times New Roman" w:cs="Times New Roman"/>
          <w:sz w:val="24"/>
          <w:szCs w:val="24"/>
          <w:lang w:val="uk-UA"/>
        </w:rPr>
        <w:t xml:space="preserve">слід знову нагадати, що </w:t>
      </w:r>
      <w:r w:rsidR="003D4756" w:rsidRPr="00907B93">
        <w:rPr>
          <w:rFonts w:ascii="Times New Roman" w:hAnsi="Times New Roman" w:cs="Times New Roman"/>
          <w:sz w:val="24"/>
          <w:szCs w:val="24"/>
          <w:lang w:val="uk-UA"/>
        </w:rPr>
        <w:t>у статті 15 Загальної декларації прав людини ООН зазначено, що «кожна людина має право на громадянство»</w:t>
      </w:r>
      <w:r w:rsidR="001340FB" w:rsidRPr="00907B93">
        <w:rPr>
          <w:rFonts w:ascii="Times New Roman" w:hAnsi="Times New Roman" w:cs="Times New Roman"/>
          <w:sz w:val="24"/>
          <w:szCs w:val="24"/>
          <w:lang w:val="uk-UA"/>
        </w:rPr>
        <w:t xml:space="preserve"> [1]</w:t>
      </w:r>
      <w:r w:rsidR="003D4756" w:rsidRPr="00907B93">
        <w:rPr>
          <w:rFonts w:ascii="Times New Roman" w:hAnsi="Times New Roman" w:cs="Times New Roman"/>
          <w:sz w:val="24"/>
          <w:szCs w:val="24"/>
          <w:lang w:val="uk-UA"/>
        </w:rPr>
        <w:t>, а згідно зі статтею 25 Конституції України і статтею 2 Закону України «Про громадянство України» забороняється позбавляти громадянства України [</w:t>
      </w:r>
      <w:r w:rsidR="001340FB" w:rsidRPr="00907B93">
        <w:rPr>
          <w:rFonts w:ascii="Times New Roman" w:hAnsi="Times New Roman" w:cs="Times New Roman"/>
          <w:sz w:val="24"/>
          <w:szCs w:val="24"/>
          <w:lang w:val="uk-UA"/>
        </w:rPr>
        <w:t>3</w:t>
      </w:r>
      <w:r w:rsidR="003D4756" w:rsidRPr="00907B93">
        <w:rPr>
          <w:rFonts w:ascii="Times New Roman" w:hAnsi="Times New Roman" w:cs="Times New Roman"/>
          <w:noProof/>
          <w:sz w:val="24"/>
          <w:szCs w:val="24"/>
          <w:lang w:val="uk-UA"/>
        </w:rPr>
        <w:t>;</w:t>
      </w:r>
      <w:r w:rsidR="001340FB" w:rsidRPr="00907B93">
        <w:rPr>
          <w:rFonts w:ascii="Times New Roman" w:hAnsi="Times New Roman" w:cs="Times New Roman"/>
          <w:noProof/>
          <w:sz w:val="24"/>
          <w:szCs w:val="24"/>
          <w:lang w:val="uk-UA"/>
        </w:rPr>
        <w:t xml:space="preserve"> 5</w:t>
      </w:r>
      <w:r w:rsidR="003D4756" w:rsidRPr="00907B93">
        <w:rPr>
          <w:rFonts w:ascii="Times New Roman" w:hAnsi="Times New Roman" w:cs="Times New Roman"/>
          <w:sz w:val="24"/>
          <w:szCs w:val="24"/>
          <w:lang w:val="uk-UA"/>
        </w:rPr>
        <w:t>].</w:t>
      </w:r>
    </w:p>
    <w:p w:rsidR="003D4756" w:rsidRPr="00907B93" w:rsidRDefault="00975961" w:rsidP="00907B93">
      <w:pPr>
        <w:spacing w:after="0" w:line="240" w:lineRule="auto"/>
        <w:ind w:firstLine="567"/>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Нами пропонується не позбавляти громадянства злочинця, а краще </w:t>
      </w:r>
      <w:r w:rsidRPr="00907B93">
        <w:rPr>
          <w:rFonts w:ascii="Times New Roman" w:hAnsi="Times New Roman" w:cs="Times New Roman"/>
          <w:sz w:val="24"/>
          <w:szCs w:val="24"/>
          <w:shd w:val="clear" w:color="auto" w:fill="FFFFFF"/>
          <w:lang w:val="uk-UA"/>
        </w:rPr>
        <w:t>підвищувати кримінальну відповідальність за дії, що кваліфікуються кримінальним законодавством як прояви тероризму та сепаратизму, або пов’язаного з ними колабораціонізму. У багатьох інших країнах практикується не позбавлення громадянства (підданства), а застосування жорстких заходів покарання за сепаратизм та тероризм. Так, в Ізраїлі кримінальна відповідальність за тероризм настає із 12 років. При цьому часто покарання несуть не лише порушники, а й члени їхніх сімей. З одного боку, це є порушенням прав людини, а з іншого, – у ситуації, в якій існує Ізраїль, жорстке покарання, у тому числі і членів родини терориста, є одним із додаткових заходів покарання [</w:t>
      </w:r>
      <w:r w:rsidR="001340FB" w:rsidRPr="00907B93">
        <w:rPr>
          <w:rFonts w:ascii="Times New Roman" w:hAnsi="Times New Roman" w:cs="Times New Roman"/>
          <w:sz w:val="24"/>
          <w:szCs w:val="24"/>
          <w:lang w:val="uk-UA"/>
        </w:rPr>
        <w:t>4</w:t>
      </w:r>
      <w:r w:rsidR="001340FB" w:rsidRPr="00907B93">
        <w:rPr>
          <w:rFonts w:ascii="Times New Roman" w:hAnsi="Times New Roman" w:cs="Times New Roman"/>
          <w:sz w:val="24"/>
          <w:szCs w:val="24"/>
          <w:shd w:val="clear" w:color="auto" w:fill="FFFFFF"/>
          <w:lang w:val="uk-UA"/>
        </w:rPr>
        <w:t>, p</w:t>
      </w:r>
      <w:r w:rsidRPr="00907B93">
        <w:rPr>
          <w:rFonts w:ascii="Times New Roman" w:hAnsi="Times New Roman" w:cs="Times New Roman"/>
          <w:sz w:val="24"/>
          <w:szCs w:val="24"/>
          <w:shd w:val="clear" w:color="auto" w:fill="FFFFFF"/>
          <w:lang w:val="uk-UA"/>
        </w:rPr>
        <w:t>. </w:t>
      </w:r>
      <w:r w:rsidRPr="00907B93">
        <w:rPr>
          <w:rFonts w:ascii="Times New Roman" w:hAnsi="Times New Roman" w:cs="Times New Roman"/>
          <w:sz w:val="24"/>
          <w:szCs w:val="24"/>
          <w:lang w:val="uk-UA"/>
        </w:rPr>
        <w:t>2109]. До того ж злочинець повинен понести покарання. А позбавлення його громадянства</w:t>
      </w:r>
      <w:r w:rsidR="00DB1868" w:rsidRPr="00907B93">
        <w:rPr>
          <w:rFonts w:ascii="Times New Roman" w:hAnsi="Times New Roman" w:cs="Times New Roman"/>
          <w:sz w:val="24"/>
          <w:szCs w:val="24"/>
          <w:lang w:val="uk-UA"/>
        </w:rPr>
        <w:t xml:space="preserve"> України</w:t>
      </w:r>
      <w:r w:rsidRPr="00907B93">
        <w:rPr>
          <w:rFonts w:ascii="Times New Roman" w:hAnsi="Times New Roman" w:cs="Times New Roman"/>
          <w:sz w:val="24"/>
          <w:szCs w:val="24"/>
          <w:lang w:val="uk-UA"/>
        </w:rPr>
        <w:t xml:space="preserve"> може свідчити про те, що держава вибачила йому його злочини, виключила його із свого правового поля (що суперечить наведеним вище нормам Конституції і Закону України), і дозволила спокійно проживати в інших країнах, зокрема у країні-агресорці. А це також не сприяє забезпеченню рівності громадян перед законом.</w:t>
      </w:r>
    </w:p>
    <w:p w:rsidR="00806A1C" w:rsidRPr="00D848D5" w:rsidRDefault="00806A1C" w:rsidP="00907B93">
      <w:pPr>
        <w:spacing w:after="0" w:line="240" w:lineRule="auto"/>
        <w:ind w:firstLine="567"/>
        <w:jc w:val="both"/>
        <w:rPr>
          <w:rFonts w:ascii="Times New Roman" w:hAnsi="Times New Roman" w:cs="Times New Roman"/>
          <w:sz w:val="16"/>
          <w:szCs w:val="16"/>
          <w:lang w:val="uk-UA"/>
        </w:rPr>
      </w:pPr>
    </w:p>
    <w:p w:rsidR="00937DB6" w:rsidRPr="00907B93" w:rsidRDefault="00A11A1A" w:rsidP="00A11A1A">
      <w:pPr>
        <w:spacing w:after="0" w:line="240" w:lineRule="auto"/>
        <w:jc w:val="center"/>
        <w:rPr>
          <w:rFonts w:ascii="Times New Roman" w:hAnsi="Times New Roman" w:cs="Times New Roman"/>
          <w:b/>
          <w:sz w:val="24"/>
          <w:szCs w:val="24"/>
          <w:lang w:val="uk-UA"/>
        </w:rPr>
      </w:pPr>
      <w:r w:rsidRPr="00907B93">
        <w:rPr>
          <w:rFonts w:ascii="Times New Roman" w:hAnsi="Times New Roman" w:cs="Times New Roman"/>
          <w:b/>
          <w:sz w:val="24"/>
          <w:szCs w:val="24"/>
          <w:lang w:val="uk-UA"/>
        </w:rPr>
        <w:t>Перелік використаних джерел</w:t>
      </w:r>
      <w:r w:rsidR="004F249F" w:rsidRPr="00907B93">
        <w:rPr>
          <w:rFonts w:ascii="Times New Roman" w:hAnsi="Times New Roman" w:cs="Times New Roman"/>
          <w:b/>
          <w:sz w:val="24"/>
          <w:szCs w:val="24"/>
          <w:lang w:val="uk-UA"/>
        </w:rPr>
        <w:t>:</w:t>
      </w:r>
    </w:p>
    <w:p w:rsidR="001340FB" w:rsidRPr="00907B93" w:rsidRDefault="001340FB" w:rsidP="00A11A1A">
      <w:pPr>
        <w:pStyle w:val="a6"/>
        <w:numPr>
          <w:ilvl w:val="0"/>
          <w:numId w:val="1"/>
        </w:numPr>
        <w:spacing w:after="0" w:line="240" w:lineRule="auto"/>
        <w:ind w:left="426" w:hanging="426"/>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Загальна декларація прав людини ООН від 10 грудня 1948 року. URL: </w:t>
      </w:r>
      <w:hyperlink r:id="rId9" w:history="1">
        <w:r w:rsidRPr="00907B93">
          <w:rPr>
            <w:rStyle w:val="a5"/>
            <w:rFonts w:ascii="Times New Roman" w:hAnsi="Times New Roman" w:cs="Times New Roman"/>
            <w:sz w:val="24"/>
            <w:szCs w:val="24"/>
            <w:lang w:val="uk-UA"/>
          </w:rPr>
          <w:t>http://zakon3.rada.gov.ua/laws/show/995_015</w:t>
        </w:r>
      </w:hyperlink>
    </w:p>
    <w:p w:rsidR="001340FB" w:rsidRPr="00907B93" w:rsidRDefault="001340FB" w:rsidP="00A11A1A">
      <w:pPr>
        <w:pStyle w:val="a6"/>
        <w:numPr>
          <w:ilvl w:val="0"/>
          <w:numId w:val="1"/>
        </w:numPr>
        <w:spacing w:after="0" w:line="240" w:lineRule="auto"/>
        <w:ind w:left="426" w:hanging="426"/>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Деревянко Б.В. Щодо дії норм про розміри посадових окладів викладачів, науковців та посадових осіб виконавчої і судової гіло</w:t>
      </w:r>
      <w:bookmarkStart w:id="0" w:name="_GoBack"/>
      <w:bookmarkEnd w:id="0"/>
      <w:r w:rsidRPr="00907B93">
        <w:rPr>
          <w:rFonts w:ascii="Times New Roman" w:hAnsi="Times New Roman" w:cs="Times New Roman"/>
          <w:sz w:val="24"/>
          <w:szCs w:val="24"/>
          <w:lang w:val="uk-UA"/>
        </w:rPr>
        <w:t xml:space="preserve">к влади (у контексті рівності людей за статтею 21 Конституції України). </w:t>
      </w:r>
      <w:r w:rsidRPr="00907B93">
        <w:rPr>
          <w:rFonts w:ascii="Times New Roman" w:hAnsi="Times New Roman" w:cs="Times New Roman"/>
          <w:i/>
          <w:sz w:val="24"/>
          <w:szCs w:val="24"/>
          <w:lang w:val="uk-UA"/>
        </w:rPr>
        <w:t>Економіка та право.</w:t>
      </w:r>
      <w:r w:rsidRPr="00907B93">
        <w:rPr>
          <w:rFonts w:ascii="Times New Roman" w:hAnsi="Times New Roman" w:cs="Times New Roman"/>
          <w:sz w:val="24"/>
          <w:szCs w:val="24"/>
          <w:lang w:val="uk-UA"/>
        </w:rPr>
        <w:t xml:space="preserve"> 2022. № 2. С. 92–101. </w:t>
      </w:r>
      <w:hyperlink r:id="rId10" w:history="1">
        <w:r w:rsidRPr="00907B93">
          <w:rPr>
            <w:rStyle w:val="a5"/>
            <w:rFonts w:ascii="Times New Roman" w:hAnsi="Times New Roman" w:cs="Times New Roman"/>
            <w:sz w:val="24"/>
            <w:szCs w:val="24"/>
            <w:lang w:val="uk-UA"/>
          </w:rPr>
          <w:t>https://doi.org/10.15407/econlaw.2022.02.092</w:t>
        </w:r>
      </w:hyperlink>
    </w:p>
    <w:p w:rsidR="001340FB" w:rsidRPr="00907B93" w:rsidRDefault="001340FB" w:rsidP="00A11A1A">
      <w:pPr>
        <w:pStyle w:val="a6"/>
        <w:numPr>
          <w:ilvl w:val="0"/>
          <w:numId w:val="1"/>
        </w:numPr>
        <w:spacing w:after="0" w:line="240" w:lineRule="auto"/>
        <w:ind w:left="426" w:hanging="426"/>
        <w:jc w:val="both"/>
        <w:rPr>
          <w:rFonts w:ascii="Times New Roman" w:hAnsi="Times New Roman" w:cs="Times New Roman"/>
          <w:sz w:val="24"/>
          <w:szCs w:val="24"/>
          <w:lang w:val="uk-UA"/>
        </w:rPr>
      </w:pPr>
      <w:r w:rsidRPr="00907B93">
        <w:rPr>
          <w:rFonts w:ascii="Times New Roman" w:hAnsi="Times New Roman" w:cs="Times New Roman"/>
          <w:sz w:val="24"/>
          <w:szCs w:val="24"/>
          <w:lang w:val="uk-UA"/>
        </w:rPr>
        <w:t xml:space="preserve">Конституція України від 28 червня 1996 року № 254к/96-ВР. </w:t>
      </w:r>
      <w:r w:rsidRPr="00907B93">
        <w:rPr>
          <w:rFonts w:ascii="Times New Roman" w:hAnsi="Times New Roman" w:cs="Times New Roman"/>
          <w:i/>
          <w:sz w:val="24"/>
          <w:szCs w:val="24"/>
          <w:lang w:val="uk-UA"/>
        </w:rPr>
        <w:t>Відомості Верховної Ради України.</w:t>
      </w:r>
      <w:r w:rsidRPr="00907B93">
        <w:rPr>
          <w:rFonts w:ascii="Times New Roman" w:hAnsi="Times New Roman" w:cs="Times New Roman"/>
          <w:sz w:val="24"/>
          <w:szCs w:val="24"/>
          <w:lang w:val="uk-UA"/>
        </w:rPr>
        <w:t xml:space="preserve"> 1996. № 30. Ст. 141.</w:t>
      </w:r>
    </w:p>
    <w:p w:rsidR="001340FB" w:rsidRPr="00907B93" w:rsidRDefault="001340FB" w:rsidP="00A11A1A">
      <w:pPr>
        <w:pStyle w:val="a6"/>
        <w:numPr>
          <w:ilvl w:val="0"/>
          <w:numId w:val="1"/>
        </w:numPr>
        <w:spacing w:after="0" w:line="240" w:lineRule="auto"/>
        <w:ind w:left="426" w:hanging="426"/>
        <w:jc w:val="both"/>
        <w:rPr>
          <w:rStyle w:val="a5"/>
          <w:rFonts w:ascii="Times New Roman" w:hAnsi="Times New Roman" w:cs="Times New Roman"/>
          <w:color w:val="auto"/>
          <w:sz w:val="24"/>
          <w:szCs w:val="24"/>
          <w:u w:val="none"/>
          <w:lang w:val="uk-UA"/>
        </w:rPr>
      </w:pPr>
      <w:r w:rsidRPr="00907B93">
        <w:rPr>
          <w:rFonts w:ascii="Times New Roman" w:hAnsi="Times New Roman" w:cs="Times New Roman"/>
          <w:sz w:val="24"/>
          <w:szCs w:val="24"/>
        </w:rPr>
        <w:t xml:space="preserve">Derevyanko B., Zozulya E. (2017). Controversy in Deprivation of Citizenship on Charges of Terrorism and Separatism. </w:t>
      </w:r>
      <w:r w:rsidRPr="00907B93">
        <w:rPr>
          <w:rFonts w:ascii="Times New Roman" w:hAnsi="Times New Roman" w:cs="Times New Roman"/>
          <w:i/>
          <w:sz w:val="24"/>
          <w:szCs w:val="24"/>
        </w:rPr>
        <w:t>Journal of Advanced Research in Law and Economics.</w:t>
      </w:r>
      <w:r w:rsidRPr="00907B93">
        <w:rPr>
          <w:rFonts w:ascii="Times New Roman" w:hAnsi="Times New Roman" w:cs="Times New Roman"/>
          <w:sz w:val="24"/>
          <w:szCs w:val="24"/>
        </w:rPr>
        <w:t xml:space="preserve"> </w:t>
      </w:r>
      <w:hyperlink r:id="rId11" w:history="1">
        <w:r w:rsidRPr="00907B93">
          <w:rPr>
            <w:rStyle w:val="a5"/>
            <w:rFonts w:ascii="Times New Roman" w:hAnsi="Times New Roman" w:cs="Times New Roman"/>
            <w:color w:val="auto"/>
            <w:sz w:val="24"/>
            <w:szCs w:val="24"/>
            <w:u w:val="none"/>
          </w:rPr>
          <w:t>Vol 8 No 7: JARLE Volume VIII Issue 7(29) Winter 2017</w:t>
        </w:r>
      </w:hyperlink>
      <w:r w:rsidRPr="00907B93">
        <w:rPr>
          <w:rFonts w:ascii="Times New Roman" w:hAnsi="Times New Roman" w:cs="Times New Roman"/>
          <w:sz w:val="24"/>
          <w:szCs w:val="24"/>
        </w:rPr>
        <w:t xml:space="preserve">. P. 2103–2111. </w:t>
      </w:r>
      <w:r w:rsidRPr="00907B93">
        <w:rPr>
          <w:rFonts w:ascii="Times New Roman" w:hAnsi="Times New Roman" w:cs="Times New Roman"/>
          <w:bCs/>
          <w:iCs/>
          <w:sz w:val="24"/>
          <w:szCs w:val="24"/>
          <w:lang w:val="pl-PL"/>
        </w:rPr>
        <w:t>URL</w:t>
      </w:r>
      <w:r w:rsidRPr="00907B93">
        <w:rPr>
          <w:rFonts w:ascii="Times New Roman" w:hAnsi="Times New Roman" w:cs="Times New Roman"/>
          <w:bCs/>
          <w:iCs/>
          <w:sz w:val="24"/>
          <w:szCs w:val="24"/>
        </w:rPr>
        <w:t xml:space="preserve">: </w:t>
      </w:r>
      <w:hyperlink r:id="rId12" w:history="1">
        <w:r w:rsidRPr="00907B93">
          <w:rPr>
            <w:rStyle w:val="a5"/>
            <w:rFonts w:ascii="Times New Roman" w:hAnsi="Times New Roman" w:cs="Times New Roman"/>
            <w:sz w:val="24"/>
            <w:szCs w:val="24"/>
          </w:rPr>
          <w:t>https://journals.aserspublishing.eu/jarle/article/view/2008/1438</w:t>
        </w:r>
      </w:hyperlink>
    </w:p>
    <w:p w:rsidR="005E27EC" w:rsidRPr="00907B93" w:rsidRDefault="001340FB" w:rsidP="00A11A1A">
      <w:pPr>
        <w:pStyle w:val="a6"/>
        <w:numPr>
          <w:ilvl w:val="0"/>
          <w:numId w:val="1"/>
        </w:numPr>
        <w:spacing w:after="0" w:line="240" w:lineRule="auto"/>
        <w:ind w:left="426" w:hanging="426"/>
        <w:jc w:val="both"/>
        <w:rPr>
          <w:rFonts w:ascii="Times New Roman" w:hAnsi="Times New Roman" w:cs="Times New Roman"/>
          <w:sz w:val="24"/>
          <w:szCs w:val="24"/>
          <w:lang w:val="uk-UA"/>
        </w:rPr>
      </w:pPr>
      <w:r w:rsidRPr="00907B93">
        <w:rPr>
          <w:rFonts w:ascii="Times New Roman" w:hAnsi="Times New Roman" w:cs="Times New Roman"/>
          <w:bCs/>
          <w:sz w:val="24"/>
          <w:szCs w:val="24"/>
          <w:bdr w:val="none" w:sz="0" w:space="0" w:color="auto" w:frame="1"/>
          <w:lang w:val="uk-UA"/>
        </w:rPr>
        <w:t xml:space="preserve">Про громадянство України: Закон України від 18 січня 2001 року № 2235-ІІІ. </w:t>
      </w:r>
      <w:r w:rsidRPr="00907B93">
        <w:rPr>
          <w:rFonts w:ascii="Times New Roman" w:hAnsi="Times New Roman" w:cs="Times New Roman"/>
          <w:i/>
          <w:iCs/>
          <w:sz w:val="24"/>
          <w:szCs w:val="24"/>
          <w:bdr w:val="none" w:sz="0" w:space="0" w:color="auto" w:frame="1"/>
          <w:lang w:val="uk-UA"/>
        </w:rPr>
        <w:t>Відомості Верховної Ради України.</w:t>
      </w:r>
      <w:r w:rsidRPr="00907B93">
        <w:rPr>
          <w:rFonts w:ascii="Times New Roman" w:hAnsi="Times New Roman" w:cs="Times New Roman"/>
          <w:iCs/>
          <w:sz w:val="24"/>
          <w:szCs w:val="24"/>
          <w:bdr w:val="none" w:sz="0" w:space="0" w:color="auto" w:frame="1"/>
          <w:lang w:val="uk-UA"/>
        </w:rPr>
        <w:t xml:space="preserve"> 2001. № 13. Ст. 65.</w:t>
      </w:r>
    </w:p>
    <w:sectPr w:rsidR="005E27EC" w:rsidRPr="00907B93" w:rsidSect="00FA6702">
      <w:headerReference w:type="default" r:id="rId13"/>
      <w:pgSz w:w="12240" w:h="15840"/>
      <w:pgMar w:top="1758" w:right="454" w:bottom="851" w:left="1134" w:header="142" w:footer="709" w:gutter="0"/>
      <w:pgNumType w:start="1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CF" w:rsidRDefault="003B0ECF" w:rsidP="00907B93">
      <w:pPr>
        <w:spacing w:after="0" w:line="240" w:lineRule="auto"/>
      </w:pPr>
      <w:r>
        <w:separator/>
      </w:r>
    </w:p>
  </w:endnote>
  <w:endnote w:type="continuationSeparator" w:id="0">
    <w:p w:rsidR="003B0ECF" w:rsidRDefault="003B0ECF" w:rsidP="0090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CF" w:rsidRDefault="003B0ECF" w:rsidP="00907B93">
      <w:pPr>
        <w:spacing w:after="0" w:line="240" w:lineRule="auto"/>
      </w:pPr>
      <w:r>
        <w:separator/>
      </w:r>
    </w:p>
  </w:footnote>
  <w:footnote w:type="continuationSeparator" w:id="0">
    <w:p w:rsidR="003B0ECF" w:rsidRDefault="003B0ECF" w:rsidP="00907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30609"/>
      <w:docPartObj>
        <w:docPartGallery w:val="Page Numbers (Top of Page)"/>
        <w:docPartUnique/>
      </w:docPartObj>
    </w:sdtPr>
    <w:sdtContent>
      <w:p w:rsidR="00907B93" w:rsidRDefault="00907B93">
        <w:pPr>
          <w:pStyle w:val="a7"/>
          <w:jc w:val="right"/>
        </w:pPr>
        <w:r>
          <w:fldChar w:fldCharType="begin"/>
        </w:r>
        <w:r>
          <w:instrText>PAGE   \* MERGEFORMAT</w:instrText>
        </w:r>
        <w:r>
          <w:fldChar w:fldCharType="separate"/>
        </w:r>
        <w:r w:rsidR="00D848D5" w:rsidRPr="00D848D5">
          <w:rPr>
            <w:noProof/>
            <w:lang w:val="ru-RU"/>
          </w:rPr>
          <w:t>129</w:t>
        </w:r>
        <w:r>
          <w:fldChar w:fldCharType="end"/>
        </w:r>
      </w:p>
    </w:sdtContent>
  </w:sdt>
  <w:p w:rsidR="00907B93" w:rsidRPr="00D848D5" w:rsidRDefault="00907B93" w:rsidP="00907B93">
    <w:pPr>
      <w:pStyle w:val="a7"/>
      <w:jc w:val="both"/>
      <w:rPr>
        <w:lang w:val="uk-UA"/>
      </w:rPr>
    </w:pPr>
    <w:r w:rsidRPr="00D848D5">
      <w:rPr>
        <w:rFonts w:ascii="Times New Roman" w:hAnsi="Times New Roman" w:cs="Times New Roman"/>
        <w:bCs/>
        <w:lang w:val="uk-UA"/>
      </w:rPr>
      <w:t xml:space="preserve">Деревянко Б.В. </w:t>
    </w:r>
    <w:r w:rsidRPr="00D848D5">
      <w:rPr>
        <w:rFonts w:ascii="Times New Roman" w:hAnsi="Times New Roman" w:cs="Times New Roman"/>
        <w:lang w:val="uk-UA"/>
      </w:rPr>
      <w:t xml:space="preserve">Окремі проблеми рівності громадян і захисту їхніх прав і свобод в умовах воєнного стану. </w:t>
    </w:r>
    <w:r w:rsidRPr="00D848D5">
      <w:rPr>
        <w:rFonts w:ascii="Times New Roman" w:hAnsi="Times New Roman" w:cs="Times New Roman"/>
        <w:i/>
        <w:lang w:val="uk-UA"/>
      </w:rPr>
      <w:t>Міжнародна та національна безпека: теоретичні і прикладні аспекти: матеріали VІІІ Міжнар. наук.-практ. конф.</w:t>
    </w:r>
    <w:r w:rsidRPr="00D848D5">
      <w:rPr>
        <w:rFonts w:ascii="Times New Roman" w:hAnsi="Times New Roman" w:cs="Times New Roman"/>
        <w:lang w:val="uk-UA"/>
      </w:rPr>
      <w:t xml:space="preserve"> (м. Дніпро, 15 бер. 2024 р.); у 2-х ч. Дніпро: Дніпроп. держ. ун-т внутр. справ, 2024. Ч. І. С. 127–129.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1A3A"/>
    <w:multiLevelType w:val="hybridMultilevel"/>
    <w:tmpl w:val="ADEC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FA685B"/>
    <w:multiLevelType w:val="hybridMultilevel"/>
    <w:tmpl w:val="24AA02EC"/>
    <w:lvl w:ilvl="0" w:tplc="2000000F">
      <w:start w:val="1"/>
      <w:numFmt w:val="decimal"/>
      <w:lvlText w:val="%1."/>
      <w:lvlJc w:val="left"/>
      <w:pPr>
        <w:ind w:left="720" w:hanging="36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93"/>
    <w:rsid w:val="0003179F"/>
    <w:rsid w:val="000C20E7"/>
    <w:rsid w:val="001340FB"/>
    <w:rsid w:val="00140BC3"/>
    <w:rsid w:val="00146BEC"/>
    <w:rsid w:val="00184B93"/>
    <w:rsid w:val="001C553C"/>
    <w:rsid w:val="00221103"/>
    <w:rsid w:val="00230C55"/>
    <w:rsid w:val="002A7EE0"/>
    <w:rsid w:val="002B1E4E"/>
    <w:rsid w:val="002E7F65"/>
    <w:rsid w:val="002F13A0"/>
    <w:rsid w:val="00301F4C"/>
    <w:rsid w:val="00345149"/>
    <w:rsid w:val="003B0ECF"/>
    <w:rsid w:val="003B55CF"/>
    <w:rsid w:val="003D4756"/>
    <w:rsid w:val="003D6FC2"/>
    <w:rsid w:val="003D70FC"/>
    <w:rsid w:val="003F0A21"/>
    <w:rsid w:val="004900FD"/>
    <w:rsid w:val="00497361"/>
    <w:rsid w:val="004A06A0"/>
    <w:rsid w:val="004E04B7"/>
    <w:rsid w:val="004E59F3"/>
    <w:rsid w:val="004F249F"/>
    <w:rsid w:val="00523E3D"/>
    <w:rsid w:val="0055549E"/>
    <w:rsid w:val="00595CA9"/>
    <w:rsid w:val="005E27EC"/>
    <w:rsid w:val="005E756F"/>
    <w:rsid w:val="005F6F3E"/>
    <w:rsid w:val="00672D69"/>
    <w:rsid w:val="00701F7A"/>
    <w:rsid w:val="00731DF4"/>
    <w:rsid w:val="00747698"/>
    <w:rsid w:val="007A7D08"/>
    <w:rsid w:val="008030A2"/>
    <w:rsid w:val="00806A1C"/>
    <w:rsid w:val="00831201"/>
    <w:rsid w:val="008906B4"/>
    <w:rsid w:val="00907B93"/>
    <w:rsid w:val="00937DB6"/>
    <w:rsid w:val="00937F69"/>
    <w:rsid w:val="00944644"/>
    <w:rsid w:val="009533F9"/>
    <w:rsid w:val="00975961"/>
    <w:rsid w:val="009F44E9"/>
    <w:rsid w:val="00A11A1A"/>
    <w:rsid w:val="00A145EC"/>
    <w:rsid w:val="00A257DD"/>
    <w:rsid w:val="00A573AA"/>
    <w:rsid w:val="00B4060A"/>
    <w:rsid w:val="00BF1A27"/>
    <w:rsid w:val="00C10D4F"/>
    <w:rsid w:val="00C20247"/>
    <w:rsid w:val="00CB505D"/>
    <w:rsid w:val="00D5161F"/>
    <w:rsid w:val="00D848D5"/>
    <w:rsid w:val="00D84A1F"/>
    <w:rsid w:val="00D93840"/>
    <w:rsid w:val="00DA0E9E"/>
    <w:rsid w:val="00DB1868"/>
    <w:rsid w:val="00E378BF"/>
    <w:rsid w:val="00E478AA"/>
    <w:rsid w:val="00E95EB2"/>
    <w:rsid w:val="00EE111F"/>
    <w:rsid w:val="00EE4FD4"/>
    <w:rsid w:val="00EF6C75"/>
    <w:rsid w:val="00F4630F"/>
    <w:rsid w:val="00FA5A08"/>
    <w:rsid w:val="00FA6702"/>
    <w:rsid w:val="00FC0061"/>
    <w:rsid w:val="00FD7B6A"/>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34"/>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styleId="a7">
    <w:name w:val="header"/>
    <w:basedOn w:val="a"/>
    <w:link w:val="a8"/>
    <w:uiPriority w:val="99"/>
    <w:unhideWhenUsed/>
    <w:rsid w:val="00907B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7B93"/>
  </w:style>
  <w:style w:type="paragraph" w:styleId="a9">
    <w:name w:val="footer"/>
    <w:basedOn w:val="a"/>
    <w:link w:val="aa"/>
    <w:uiPriority w:val="99"/>
    <w:unhideWhenUsed/>
    <w:rsid w:val="00907B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7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34"/>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styleId="a7">
    <w:name w:val="header"/>
    <w:basedOn w:val="a"/>
    <w:link w:val="a8"/>
    <w:uiPriority w:val="99"/>
    <w:unhideWhenUsed/>
    <w:rsid w:val="00907B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7B93"/>
  </w:style>
  <w:style w:type="paragraph" w:styleId="a9">
    <w:name w:val="footer"/>
    <w:basedOn w:val="a"/>
    <w:link w:val="aa"/>
    <w:uiPriority w:val="99"/>
    <w:unhideWhenUsed/>
    <w:rsid w:val="00907B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5070">
      <w:bodyDiv w:val="1"/>
      <w:marLeft w:val="0"/>
      <w:marRight w:val="0"/>
      <w:marTop w:val="0"/>
      <w:marBottom w:val="0"/>
      <w:divBdr>
        <w:top w:val="none" w:sz="0" w:space="0" w:color="auto"/>
        <w:left w:val="none" w:sz="0" w:space="0" w:color="auto"/>
        <w:bottom w:val="none" w:sz="0" w:space="0" w:color="auto"/>
        <w:right w:val="none" w:sz="0" w:space="0" w:color="auto"/>
      </w:divBdr>
      <w:divsChild>
        <w:div w:id="1324966679">
          <w:marLeft w:val="0"/>
          <w:marRight w:val="0"/>
          <w:marTop w:val="0"/>
          <w:marBottom w:val="0"/>
          <w:divBdr>
            <w:top w:val="none" w:sz="0" w:space="0" w:color="auto"/>
            <w:left w:val="none" w:sz="0" w:space="0" w:color="auto"/>
            <w:bottom w:val="none" w:sz="0" w:space="0" w:color="auto"/>
            <w:right w:val="none" w:sz="0" w:space="0" w:color="auto"/>
          </w:divBdr>
        </w:div>
        <w:div w:id="407264619">
          <w:marLeft w:val="0"/>
          <w:marRight w:val="0"/>
          <w:marTop w:val="0"/>
          <w:marBottom w:val="0"/>
          <w:divBdr>
            <w:top w:val="none" w:sz="0" w:space="0" w:color="auto"/>
            <w:left w:val="none" w:sz="0" w:space="0" w:color="auto"/>
            <w:bottom w:val="none" w:sz="0" w:space="0" w:color="auto"/>
            <w:right w:val="none" w:sz="0" w:space="0" w:color="auto"/>
          </w:divBdr>
        </w:div>
        <w:div w:id="1984117469">
          <w:marLeft w:val="0"/>
          <w:marRight w:val="0"/>
          <w:marTop w:val="0"/>
          <w:marBottom w:val="0"/>
          <w:divBdr>
            <w:top w:val="none" w:sz="0" w:space="0" w:color="auto"/>
            <w:left w:val="none" w:sz="0" w:space="0" w:color="auto"/>
            <w:bottom w:val="none" w:sz="0" w:space="0" w:color="auto"/>
            <w:right w:val="none" w:sz="0" w:space="0" w:color="auto"/>
          </w:divBdr>
        </w:div>
        <w:div w:id="1030493447">
          <w:marLeft w:val="0"/>
          <w:marRight w:val="0"/>
          <w:marTop w:val="0"/>
          <w:marBottom w:val="0"/>
          <w:divBdr>
            <w:top w:val="none" w:sz="0" w:space="0" w:color="auto"/>
            <w:left w:val="none" w:sz="0" w:space="0" w:color="auto"/>
            <w:bottom w:val="none" w:sz="0" w:space="0" w:color="auto"/>
            <w:right w:val="none" w:sz="0" w:space="0" w:color="auto"/>
          </w:divBdr>
        </w:div>
        <w:div w:id="1275864902">
          <w:marLeft w:val="0"/>
          <w:marRight w:val="0"/>
          <w:marTop w:val="0"/>
          <w:marBottom w:val="0"/>
          <w:divBdr>
            <w:top w:val="none" w:sz="0" w:space="0" w:color="auto"/>
            <w:left w:val="none" w:sz="0" w:space="0" w:color="auto"/>
            <w:bottom w:val="none" w:sz="0" w:space="0" w:color="auto"/>
            <w:right w:val="none" w:sz="0" w:space="0" w:color="auto"/>
          </w:divBdr>
        </w:div>
      </w:divsChild>
    </w:div>
    <w:div w:id="1188838318">
      <w:bodyDiv w:val="1"/>
      <w:marLeft w:val="0"/>
      <w:marRight w:val="0"/>
      <w:marTop w:val="0"/>
      <w:marBottom w:val="0"/>
      <w:divBdr>
        <w:top w:val="none" w:sz="0" w:space="0" w:color="auto"/>
        <w:left w:val="none" w:sz="0" w:space="0" w:color="auto"/>
        <w:bottom w:val="none" w:sz="0" w:space="0" w:color="auto"/>
        <w:right w:val="none" w:sz="0" w:space="0" w:color="auto"/>
      </w:divBdr>
      <w:divsChild>
        <w:div w:id="817917999">
          <w:marLeft w:val="0"/>
          <w:marRight w:val="0"/>
          <w:marTop w:val="0"/>
          <w:marBottom w:val="0"/>
          <w:divBdr>
            <w:top w:val="none" w:sz="0" w:space="0" w:color="auto"/>
            <w:left w:val="none" w:sz="0" w:space="0" w:color="auto"/>
            <w:bottom w:val="none" w:sz="0" w:space="0" w:color="auto"/>
            <w:right w:val="none" w:sz="0" w:space="0" w:color="auto"/>
          </w:divBdr>
        </w:div>
        <w:div w:id="1395812952">
          <w:marLeft w:val="0"/>
          <w:marRight w:val="0"/>
          <w:marTop w:val="0"/>
          <w:marBottom w:val="0"/>
          <w:divBdr>
            <w:top w:val="none" w:sz="0" w:space="0" w:color="auto"/>
            <w:left w:val="none" w:sz="0" w:space="0" w:color="auto"/>
            <w:bottom w:val="none" w:sz="0" w:space="0" w:color="auto"/>
            <w:right w:val="none" w:sz="0" w:space="0" w:color="auto"/>
          </w:divBdr>
        </w:div>
      </w:divsChild>
    </w:div>
    <w:div w:id="1653867717">
      <w:bodyDiv w:val="1"/>
      <w:marLeft w:val="0"/>
      <w:marRight w:val="0"/>
      <w:marTop w:val="0"/>
      <w:marBottom w:val="0"/>
      <w:divBdr>
        <w:top w:val="none" w:sz="0" w:space="0" w:color="auto"/>
        <w:left w:val="none" w:sz="0" w:space="0" w:color="auto"/>
        <w:bottom w:val="none" w:sz="0" w:space="0" w:color="auto"/>
        <w:right w:val="none" w:sz="0" w:space="0" w:color="auto"/>
      </w:divBdr>
      <w:divsChild>
        <w:div w:id="357127882">
          <w:marLeft w:val="0"/>
          <w:marRight w:val="0"/>
          <w:marTop w:val="0"/>
          <w:marBottom w:val="0"/>
          <w:divBdr>
            <w:top w:val="none" w:sz="0" w:space="0" w:color="auto"/>
            <w:left w:val="none" w:sz="0" w:space="0" w:color="auto"/>
            <w:bottom w:val="none" w:sz="0" w:space="0" w:color="auto"/>
            <w:right w:val="none" w:sz="0" w:space="0" w:color="auto"/>
          </w:divBdr>
        </w:div>
        <w:div w:id="787891193">
          <w:marLeft w:val="0"/>
          <w:marRight w:val="0"/>
          <w:marTop w:val="0"/>
          <w:marBottom w:val="0"/>
          <w:divBdr>
            <w:top w:val="none" w:sz="0" w:space="0" w:color="auto"/>
            <w:left w:val="none" w:sz="0" w:space="0" w:color="auto"/>
            <w:bottom w:val="none" w:sz="0" w:space="0" w:color="auto"/>
            <w:right w:val="none" w:sz="0" w:space="0" w:color="auto"/>
          </w:divBdr>
        </w:div>
        <w:div w:id="100763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s.aserspublishing.eu/jarle/article/view/2008/14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aserspublishing.eu/jarle/issue/view/1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5407/econlaw.2022.02.092" TargetMode="External"/><Relationship Id="rId4" Type="http://schemas.microsoft.com/office/2007/relationships/stylesWithEffects" Target="stylesWithEffects.xml"/><Relationship Id="rId9" Type="http://schemas.openxmlformats.org/officeDocument/2006/relationships/hyperlink" Target="http://zakon3.rada.gov.ua/laws/show/995_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BF09-902B-43B2-AFE5-C68595C9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50</cp:revision>
  <dcterms:created xsi:type="dcterms:W3CDTF">2024-02-05T20:31:00Z</dcterms:created>
  <dcterms:modified xsi:type="dcterms:W3CDTF">2024-04-30T10:54:00Z</dcterms:modified>
</cp:coreProperties>
</file>