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FB90" w14:textId="1CE6A89A" w:rsidR="003C575B" w:rsidRPr="005E7BE0" w:rsidRDefault="00034A7E" w:rsidP="00FF2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b/>
          <w:sz w:val="28"/>
          <w:szCs w:val="28"/>
          <w:lang w:val="uk-UA"/>
        </w:rPr>
        <w:t>КОНЦЕПЦІЯ МОДЕРНІЗАЦІЇ ГОСПОДАРСЬКОГО (ЕКОНОМІЧНОГО) ЗАКОНОДАВСТВА УКРАЇНИ: НЕВІДОМА, НЕДООЦІНЕНА,</w:t>
      </w:r>
      <w:r w:rsidR="00FF2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b/>
          <w:sz w:val="28"/>
          <w:szCs w:val="28"/>
          <w:lang w:val="uk-UA"/>
        </w:rPr>
        <w:t>ПРОТЕ ПРОГРЕСИВНА І ПЕРСПЕКТИВНА</w:t>
      </w:r>
    </w:p>
    <w:p w14:paraId="40679B0E" w14:textId="6AA5C7EF" w:rsidR="001B146E" w:rsidRPr="005E7BE0" w:rsidRDefault="008079AB" w:rsidP="00B17AC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b/>
          <w:sz w:val="28"/>
          <w:szCs w:val="28"/>
          <w:lang w:val="uk-UA"/>
        </w:rPr>
        <w:t>Деревянко</w:t>
      </w:r>
      <w:r w:rsidR="0096265C" w:rsidRPr="005E7BE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5E7BE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1B146E" w:rsidRPr="005E7B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6265C" w:rsidRPr="005E7BE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1B146E" w:rsidRPr="005E7BE0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14:paraId="50EA8A38" w14:textId="77777777" w:rsidR="008079AB" w:rsidRPr="005E7BE0" w:rsidRDefault="008079AB" w:rsidP="00B17AC4">
      <w:pPr>
        <w:spacing w:after="0" w:line="360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bookmarkStart w:id="0" w:name="_Hlk70632036"/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провідний науковий співробітник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міжнародного приватного права</w:t>
      </w:r>
    </w:p>
    <w:p w14:paraId="642E3F57" w14:textId="77777777" w:rsidR="00FF2C5A" w:rsidRDefault="008079AB" w:rsidP="00B17AC4">
      <w:pPr>
        <w:spacing w:after="0" w:line="360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порівняльного правознавства</w:t>
      </w:r>
      <w:bookmarkStart w:id="1" w:name="_Hlk70631971"/>
      <w:bookmarkEnd w:id="0"/>
    </w:p>
    <w:p w14:paraId="51B14709" w14:textId="404CFA61" w:rsidR="008079AB" w:rsidRPr="005E7BE0" w:rsidRDefault="008079AB" w:rsidP="00B17A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Науково-дослідного інституту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приватного права</w:t>
      </w:r>
    </w:p>
    <w:p w14:paraId="41B249C9" w14:textId="42159992" w:rsidR="008079AB" w:rsidRPr="005E7BE0" w:rsidRDefault="008079AB" w:rsidP="00B17AC4">
      <w:pPr>
        <w:spacing w:after="0" w:line="360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підприємництва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імені академіка Ф.Г. Бурчака НАПрН України</w:t>
      </w:r>
      <w:bookmarkEnd w:id="1"/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6FC581D4" w14:textId="77777777" w:rsidR="008079AB" w:rsidRPr="005E7BE0" w:rsidRDefault="008079AB" w:rsidP="00B17AC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0632091"/>
      <w:r w:rsidRPr="005E7BE0">
        <w:rPr>
          <w:rFonts w:ascii="Times New Roman" w:hAnsi="Times New Roman" w:cs="Times New Roman"/>
          <w:sz w:val="28"/>
          <w:szCs w:val="28"/>
          <w:lang w:val="uk-UA"/>
        </w:rPr>
        <w:t>доктор юридичних наук, професор</w:t>
      </w:r>
      <w:bookmarkEnd w:id="2"/>
    </w:p>
    <w:p w14:paraId="1CB310A6" w14:textId="2717AD11" w:rsidR="008079AB" w:rsidRPr="005E7BE0" w:rsidRDefault="008079AB" w:rsidP="00B579AB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3564A5" w14:textId="77777777" w:rsidR="00A42831" w:rsidRPr="005E7BE0" w:rsidRDefault="00626E0F" w:rsidP="00A4283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Жодна галузева правова наука не може вважатися наукою, що обслуговує виключно приватні або виключно публічні інтереси своїх субʼєктів права. В окремих галузях права значно переважають публічні інтереси (наприклад, в адміністративному праві), в окремих інших – приватні інтереси (наприклад, у цивільному праві). Проте у цих науках наявні і інші інтереси, як-то приватні в адміністративному праві і публічні у цивільному праві. </w:t>
      </w:r>
      <w:r w:rsidR="00C234E8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Хоча протягом останніх років роль та значення публічних інтересів у господарському праві підвищується, о</w:t>
      </w:r>
      <w:r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собливість науки </w:t>
      </w:r>
      <w:r w:rsidR="00C234E8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і галузі </w:t>
      </w:r>
      <w:r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господарського права полягає у гнучкому поєднанні публічних та приватних інтересів і особливо, у їх приблизно рівній ролі та обсязі.</w:t>
      </w:r>
      <w:r w:rsidR="0047306A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 Можливо саме через це окремі представники наукових шкіл інших галузей права або не визнають права на існування галузі господарського права, або вважають таку галузь комплексною, що є підгалуззю однієї або кількох інших галузей.</w:t>
      </w:r>
      <w:r w:rsidR="00251ED9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 Тому постійно доводиться повторювати, що не можуть відносини з приблизно рівною часткою приватних інтересів (зокрема щодо отримання прибутку від бізнесу і матеріального забезпечення своїх потреб і потреб своєї родини тощо) та публічних інтересів (зокрема під час сплати податків, утворення робочих місць, забезпечення економічної незалежності держави тощо) регулюватися тим самим законодавством, яким регулюються відносини з абсолютним превалюванням </w:t>
      </w:r>
      <w:r w:rsidR="00251ED9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lastRenderedPageBreak/>
        <w:t xml:space="preserve">приватних інтересів (наприклад, відносини між членами однієї родини, між </w:t>
      </w:r>
      <w:r w:rsidR="00E43DDF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сусідами по підʼїзду чи по парті тощо</w:t>
      </w:r>
      <w:r w:rsidR="00251ED9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)</w:t>
      </w:r>
      <w:r w:rsidR="00E43DDF"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. Складно інколи вишукувати нові аргументи, оскільки речі, очевидні пересічним школярам-пʼятикласникам, відмовляються приймати і розуміти окремі кандидати і доктори юридичних наук.</w:t>
      </w:r>
    </w:p>
    <w:p w14:paraId="1030B9E5" w14:textId="3D6B4031" w:rsidR="00CC1852" w:rsidRPr="005E7BE0" w:rsidRDefault="009758EB" w:rsidP="00A4283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У науковій періодиці аргументи наводилися такими вченими, як: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О.А. Беляневич [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2EEC" w:rsidRPr="005E7BE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 А.Г. Бобкова [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 О.М. Вінник [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0B3EA2" w:rsidRPr="005E7BE0">
        <w:rPr>
          <w:rFonts w:ascii="Times New Roman" w:hAnsi="Times New Roman" w:cs="Times New Roman"/>
          <w:sz w:val="28"/>
          <w:szCs w:val="28"/>
          <w:lang w:val="uk-UA"/>
        </w:rPr>
        <w:t>В.М. Гайворонський [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3EA2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С.М. Грудницьк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6; 7; 8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bookmarkStart w:id="3" w:name="_Hlk71643225"/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С.Ф. Демченко [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bookmarkEnd w:id="3"/>
      <w:r w:rsidR="00AD16D8" w:rsidRPr="005E7BE0">
        <w:rPr>
          <w:rFonts w:ascii="Times New Roman" w:hAnsi="Times New Roman" w:cs="Times New Roman"/>
          <w:sz w:val="28"/>
          <w:szCs w:val="28"/>
          <w:lang w:val="uk-UA"/>
        </w:rPr>
        <w:t>Б.В. Деревянко [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>10, 11, 12, 13, 14, 15</w:t>
      </w:r>
      <w:r w:rsidR="00AD16D8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9402AB" w:rsidRPr="005E7BE0">
        <w:rPr>
          <w:rFonts w:ascii="Times New Roman" w:hAnsi="Times New Roman" w:cs="Times New Roman"/>
          <w:sz w:val="28"/>
          <w:szCs w:val="28"/>
          <w:lang w:val="uk-UA"/>
        </w:rPr>
        <w:t>Р.А. Джабраілов [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>16; 17</w:t>
      </w:r>
      <w:r w:rsidR="00F9159A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В.В. Джун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 Д.В. Задихайл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>19; 20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 О.Р. Зєльдін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215B3" w:rsidRPr="005E7BE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 Г.Л. Знаменськ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215B3" w:rsidRPr="005E7BE0">
        <w:rPr>
          <w:rFonts w:ascii="Times New Roman" w:hAnsi="Times New Roman" w:cs="Times New Roman"/>
          <w:sz w:val="28"/>
          <w:szCs w:val="28"/>
          <w:lang w:val="uk-UA"/>
        </w:rPr>
        <w:t>22; 23; 24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; 25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E63823" w:rsidRPr="005E7BE0">
        <w:rPr>
          <w:rFonts w:ascii="Times New Roman" w:hAnsi="Times New Roman" w:cs="Times New Roman"/>
          <w:sz w:val="28"/>
          <w:szCs w:val="28"/>
          <w:lang w:val="uk-UA"/>
        </w:rPr>
        <w:t>І.В. Лукач [</w:t>
      </w:r>
      <w:r w:rsidR="006215B3" w:rsidRPr="005E7B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382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]; </w:t>
      </w:r>
      <w:r w:rsidR="00F9159A" w:rsidRPr="005E7BE0">
        <w:rPr>
          <w:rFonts w:ascii="Times New Roman" w:hAnsi="Times New Roman" w:cs="Times New Roman"/>
          <w:sz w:val="28"/>
          <w:szCs w:val="28"/>
          <w:lang w:val="uk-UA"/>
        </w:rPr>
        <w:t>О.Ю. Ілларіонов [</w:t>
      </w:r>
      <w:r w:rsidR="006215B3" w:rsidRPr="005E7BE0">
        <w:rPr>
          <w:rFonts w:ascii="Times New Roman" w:hAnsi="Times New Roman" w:cs="Times New Roman"/>
          <w:sz w:val="28"/>
          <w:szCs w:val="28"/>
          <w:lang w:val="uk-UA"/>
        </w:rPr>
        <w:t>27; 28; 29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; 30</w:t>
      </w:r>
      <w:r w:rsidR="00F9159A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A479D6" w:rsidRPr="005E7BE0">
        <w:rPr>
          <w:rFonts w:ascii="Times New Roman" w:hAnsi="Times New Roman" w:cs="Times New Roman"/>
          <w:sz w:val="28"/>
          <w:szCs w:val="28"/>
          <w:lang w:val="uk-UA"/>
        </w:rPr>
        <w:t>О.В. Кологойда [</w:t>
      </w:r>
      <w:r w:rsidR="006215B3" w:rsidRPr="005E7B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79D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В.К. Мамутов [</w:t>
      </w:r>
      <w:r w:rsidR="00536BB4" w:rsidRPr="005E7BE0">
        <w:rPr>
          <w:rFonts w:ascii="Times New Roman" w:hAnsi="Times New Roman" w:cs="Times New Roman"/>
          <w:sz w:val="28"/>
          <w:szCs w:val="28"/>
          <w:lang w:val="uk-UA"/>
        </w:rPr>
        <w:t>32; 33; 34; 35; 36; 37; 38; 39; 40; 41; 42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; 43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541FAA" w:rsidRPr="005E7BE0">
        <w:rPr>
          <w:rFonts w:ascii="Times New Roman" w:hAnsi="Times New Roman" w:cs="Times New Roman"/>
          <w:sz w:val="28"/>
          <w:szCs w:val="28"/>
          <w:lang w:val="uk-UA"/>
        </w:rPr>
        <w:t>Н.Б. Пацурія [</w:t>
      </w:r>
      <w:r w:rsidR="008C7622" w:rsidRPr="005E7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1FAA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О.П. Подцерковн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; 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382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95CF0" w:rsidRPr="005E7B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E6382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В.В. Поєдинок [</w:t>
      </w:r>
      <w:r w:rsidR="006215B3" w:rsidRPr="005E7B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3823" w:rsidRPr="005E7BE0">
        <w:rPr>
          <w:rFonts w:ascii="Times New Roman" w:hAnsi="Times New Roman" w:cs="Times New Roman"/>
          <w:sz w:val="28"/>
          <w:szCs w:val="28"/>
          <w:lang w:val="uk-UA"/>
        </w:rPr>
        <w:t>];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9D6" w:rsidRPr="005E7BE0">
        <w:rPr>
          <w:rFonts w:ascii="Times New Roman" w:hAnsi="Times New Roman" w:cs="Times New Roman"/>
          <w:sz w:val="28"/>
          <w:szCs w:val="28"/>
          <w:lang w:val="uk-UA"/>
        </w:rPr>
        <w:t>В.В. Радзивілюк 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479D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6E5A6D" w:rsidRPr="005E7BE0">
        <w:rPr>
          <w:rFonts w:ascii="Times New Roman" w:hAnsi="Times New Roman" w:cs="Times New Roman"/>
          <w:sz w:val="28"/>
          <w:szCs w:val="28"/>
          <w:lang w:val="uk-UA"/>
        </w:rPr>
        <w:t>В.В. Рєзнікова 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; 4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A479D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2D4141" w:rsidRPr="005E7BE0">
        <w:rPr>
          <w:rFonts w:ascii="Times New Roman" w:hAnsi="Times New Roman" w:cs="Times New Roman"/>
          <w:sz w:val="28"/>
          <w:szCs w:val="28"/>
          <w:lang w:val="uk-UA"/>
        </w:rPr>
        <w:t>Б.Г. Розовський 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; 5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4141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A479D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В.А. Устименко </w:t>
      </w:r>
      <w:r w:rsidR="002D4141" w:rsidRPr="005E7BE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; 5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02AB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>16; 17</w:t>
      </w:r>
      <w:r w:rsidR="002D4141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О.В. Шаповалов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], В.С. Щербин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56; 57; 58</w:t>
      </w:r>
      <w:r w:rsidR="003C072B" w:rsidRPr="005E7BE0">
        <w:rPr>
          <w:rStyle w:val="aa"/>
          <w:rFonts w:ascii="Times New Roman" w:hAnsi="Times New Roman" w:cs="Times New Roman"/>
          <w:b w:val="0"/>
          <w:bCs w:val="0"/>
          <w:spacing w:val="5"/>
          <w:sz w:val="28"/>
          <w:szCs w:val="28"/>
          <w:shd w:val="clear" w:color="auto" w:fill="FFFFFF"/>
          <w:lang w:val="uk-UA"/>
        </w:rPr>
        <w:t xml:space="preserve">; </w:t>
      </w:r>
      <w:r w:rsidR="003C072B" w:rsidRPr="005E7BE0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>; 59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; 60</w:t>
      </w:r>
      <w:r w:rsidR="00541FAA" w:rsidRPr="005E7BE0">
        <w:rPr>
          <w:rStyle w:val="aa"/>
          <w:rFonts w:ascii="Times New Roman" w:hAnsi="Times New Roman" w:cs="Times New Roman"/>
          <w:b w:val="0"/>
          <w:bCs w:val="0"/>
          <w:spacing w:val="5"/>
          <w:sz w:val="28"/>
          <w:szCs w:val="28"/>
          <w:shd w:val="clear" w:color="auto" w:fill="FFFFFF"/>
          <w:lang w:val="uk-UA"/>
        </w:rPr>
        <w:t xml:space="preserve">]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та інш</w:t>
      </w:r>
      <w:r w:rsidR="00DB76F1" w:rsidRPr="005E7B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Наведені у названих та інших роботах названих вище та інших вчених аргументи на користь кодифікації відносин в економіці мали б ще багато років тому розставити усі крапки над «і» у питаннях про кодифікацію таких відносин. Проте маємо дещо іншу ситуацію.</w:t>
      </w:r>
    </w:p>
    <w:p w14:paraId="0143268E" w14:textId="13F7E381" w:rsidR="00034A7E" w:rsidRPr="005E7BE0" w:rsidRDefault="006A002C" w:rsidP="00806B8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На початку 2020 року зʼявилася Концепція оновлення Цивільного кодексу України, у § 1.1 якої пропонується визнати таким, що втратив чинність, Господарський кодекс України (далі – ГК України). В цілому ця Концепція виглядає дещо «сируватою». І під час її вивчення видається, що основн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є не оновлення Цивільного кодексу України (далі – ЦК України), а скасування чинності ГК України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, а основними завданнями – пошук способів як це зробити якнайшвидше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3395" w:rsidRPr="005E7BE0">
        <w:rPr>
          <w:rFonts w:ascii="Times New Roman" w:hAnsi="Times New Roman" w:cs="Times New Roman"/>
          <w:sz w:val="28"/>
          <w:szCs w:val="28"/>
          <w:lang w:val="uk-UA"/>
        </w:rPr>
        <w:t>Протягом 2020 року було проведено декілька наукових заходів з обговорення Концепції оновлення Цивільного кодексу України. Проте далеко не всі учасники таких обговорень схвально висловлювалися стосовно змісту і суті цієї Концепції.</w:t>
      </w:r>
      <w:r w:rsidR="00C8009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E6E69" w:rsidRPr="005E7BE0">
        <w:rPr>
          <w:rFonts w:ascii="Times New Roman" w:hAnsi="Times New Roman" w:cs="Times New Roman"/>
          <w:sz w:val="28"/>
          <w:szCs w:val="28"/>
          <w:lang w:val="uk-UA"/>
        </w:rPr>
        <w:t>умки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учасників, рівно як і інших опонентів Концепції оновлення Цивільного кодексу України, зокрема і з таборів різних наукових шкіл цивільного права,</w:t>
      </w:r>
      <w:r w:rsidR="003E6E6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поширюються мінімально, а в суспільстві формується думка про загальну підтримку юридичною спільнотою України цієї Концепції.</w:t>
      </w:r>
    </w:p>
    <w:p w14:paraId="30FC7F34" w14:textId="74A00A1B" w:rsidR="003E6E69" w:rsidRPr="005E7BE0" w:rsidRDefault="003E6E69" w:rsidP="009A271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Можливо помилкою вчених-господарників є те, що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модернізації господарського законодавства України була розроблена ними ще у 2019 році, проте до 2021 року не була опублікована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та/або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поширена. Сьогодні ця Концепція у скороченому вигляді опублікована на сторінках 18-19 Юридичного вісника України за 2-22 квітня (№ 13-15) [</w:t>
      </w:r>
      <w:r w:rsidR="00B105A8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], а також як додаток на сторінках 106-111 (додаток № 12) до Науково-експертного висновку до Концепції оновлення Цивільного кодексу України [</w:t>
      </w:r>
      <w:r w:rsidR="00B105A8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105A8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 106-111].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Питання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порушені у 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Науково-експертно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висновку до Концепції оновлення Цивільного кодексу України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рівно як і аналізу його положень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мають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описан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 інших роботах. Концепція модернізації господарського законодавства України сьогодні є невідомою для широкого загалу, а багато у чому саме через це є недооціненою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навіть юридичною спільнотою, не кажучи про законотворців, чиновників та пересічних громадян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надання належної оцінки її суті і змісту слід розглянути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положення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65220F" w14:textId="2464599E" w:rsidR="00DB4B05" w:rsidRPr="005E7BE0" w:rsidRDefault="00E8680E" w:rsidP="00DB4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модернізації господарського законодавства України вирізняється чіткістю й оптимальністю, містить невелику кількість розділів, в яких конкретизовані завдання та/або інші складові. </w:t>
      </w:r>
      <w:r w:rsidR="002858A7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розділ «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Проблеми, які потребують розв’язання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>» називає основні проблеми, згруповані у 15 абзаців. Після перерахування вказано, що зазначені проблеми у правовій площині поряд із іншими чинниками негативно впливають на стан економіки України, що проявляється, зокрема, у високому рівні її «тінізації», обмеженні підприємницької ініціативи, скороченні промислового виробництва, низькій привабливості України для іноземних інвесторів [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>, с. 18].</w:t>
      </w:r>
    </w:p>
    <w:p w14:paraId="294D9AA8" w14:textId="715FD34A" w:rsidR="00DB4B05" w:rsidRPr="005E7BE0" w:rsidRDefault="00583BD3" w:rsidP="00DB4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У д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>руг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«Обґрунтування доцільності модернізації господарського (економічного) законодавства України» серед іншого вказано на доцільність модернізації та збереження кодифікації як оптимальної форми систематизації господарського (економічного) законодавства через те, що: - на сьогодні понад 300 базових чинних законів оперують термінологією, що розкривається у ГК України («суб’єкт господарювання», «господарська діяльність» та ін.), містять норми, які безпосередньо кореспондують із положеннями ГК України; більш ніж 40 базових законів містять пряме посилання на ГК України; </w:t>
      </w:r>
      <w:r w:rsidR="00B02FD3" w:rsidRPr="005E7BE0">
        <w:rPr>
          <w:rFonts w:ascii="Times New Roman" w:hAnsi="Times New Roman" w:cs="Times New Roman"/>
          <w:sz w:val="28"/>
          <w:szCs w:val="28"/>
          <w:lang w:val="uk-UA"/>
        </w:rPr>
        <w:t>- наявний позитивний досвід європейських країн, де прийнято економічні (комерційні, підприємницькі, торгові) кодекси (Австрія, Бельгія, Естонія, Латвія, Іспанія, Мальта, Нідерланди, ФРН, Словаччина, Туреччина, Франція, Чехія та ін.) для окремого регулювання відносин у сфері економіки; - існує потреба адаптації господарського (економічного) законодавства України до права ЄС, удосконалення національного законодавства відповідно до зобов’язань, визначених Угодою про асоціацію з ЄС; - наявна необхідність підвищення позицій України у рейтингу Світового банку «Doing Business», серед показників якого враховуються стабільність і осучаснення господарського (економічного) законодавства та ін. [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FD3" w:rsidRPr="005E7BE0">
        <w:rPr>
          <w:rFonts w:ascii="Times New Roman" w:hAnsi="Times New Roman" w:cs="Times New Roman"/>
          <w:sz w:val="28"/>
          <w:szCs w:val="28"/>
          <w:lang w:val="uk-UA"/>
        </w:rPr>
        <w:t>, с. 18].</w:t>
      </w:r>
      <w:r w:rsidR="00787BC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Від себе слід додати, що крім названих у розділі Концепції європейських держав, слід ще додати Болгарію з її комерційним законом, Ліхтенштейн із його Загальнонімецьким комерційним кодексом, Люксембург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, Монако, Португалію</w:t>
      </w:r>
      <w:r w:rsidR="00787BC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їх комерційними кодексами. Також достатньо недавно (</w:t>
      </w:r>
      <w:r w:rsidR="00BE47DF"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 жовтня 2015 року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) було прийнято Підприємницький кодекс Республіки Казахстан, прийняття якого стало можливим завдяки вивченню позитивів і негативів у регулюванні господарської діяльності в Україні. Хоча це не держава-член ЄС, проте рівень її ВВП на душу населення значно перевищує відповідний показник України.</w:t>
      </w:r>
    </w:p>
    <w:p w14:paraId="595A63D4" w14:textId="3BB030E4" w:rsidR="00DB4B05" w:rsidRPr="005E7BE0" w:rsidRDefault="00B02FD3" w:rsidP="00DB4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наступному розділі Концепції «Мета та завдання </w:t>
      </w:r>
      <w:bookmarkStart w:id="4" w:name="_Hlk22587324"/>
      <w:r w:rsidRPr="005E7BE0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bookmarkEnd w:id="4"/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(економічного) законодавства» метою визначено оновлення правової парадигми організації та здійснення господарської діяльності в Україні і на цій основі забезпечення конструктивного поєднання, взаємоузгодження публічних та приватних інтересів у регулюванні господарської (економічної) діяльності, суттєве покращення правових умов для розвитку української економіки та підвищення рівня життя населення [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, с. 18]</w:t>
      </w:r>
      <w:r w:rsidR="00B35A3C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, а серед 19 завдань </w:t>
      </w:r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навіть складно визначити найбільш важливі. Це і вирішення проблеми множинності актів господарського (економічного) законодавства; і зосередження в оновленому кодифікованому акті господарського законодавства норм прямої дії; і узгодження модернізованого господарського (економічного) законодавства із основними засадами цивільного законодавства; і імплементація прогресивного зарубіжного досвіду законодавчого регулювання економічних відносин; і удосконалення нормативного масиву щодо правового статусу суб’єктів господарювання; і уточнення правового режиму майна, що залучається у господарський (економічний) оборот і використовується для здійснення господарської (економічної) діяльності; і визначення загальних засад комерціалізації прав інтелектуальної власності у сфері господарювання; і унормування умов та правил електронного господарювання; і усунення недоліків законодавства щодо здійснення діяльності у базових галузях і сферах економіки (будівництво, транспорт, фінансова діяльність і ін.); і закріплення положень, спрямованих на активізацію інноваційної, інвестиційної та зовнішньоекономічної діяльності; і оновлення положень законодавства з питань ведення господарської (економічної) діяльності в умовах спеціального правового режиму (під час запровадження надзвичайного чи воєнного стану, тощо) </w:t>
      </w:r>
      <w:r w:rsidR="00DB4B05" w:rsidRPr="005E7BE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4B05" w:rsidRPr="005E7BE0">
        <w:rPr>
          <w:rFonts w:ascii="Times New Roman" w:hAnsi="Times New Roman" w:cs="Times New Roman"/>
          <w:sz w:val="28"/>
          <w:szCs w:val="28"/>
          <w:lang w:val="uk-UA"/>
        </w:rPr>
        <w:t>, с. 19]</w:t>
      </w:r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У розширеному варіанті Концепції та у матеріалах вчених-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господарників визначено конкретні способи вирішення кожного із наведених у Концепції завдань.</w:t>
      </w:r>
    </w:p>
    <w:p w14:paraId="41A86D8B" w14:textId="70ECDCE6" w:rsidR="00E8680E" w:rsidRPr="005E7BE0" w:rsidRDefault="00DB4B05" w:rsidP="00DB4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Розділ «</w:t>
      </w:r>
      <w:r w:rsidR="00E8680E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Теоретична та емпірична основа і концептуальні орієнтири модернізації </w:t>
      </w:r>
      <w:r w:rsidR="00E8680E" w:rsidRPr="005E7BE0">
        <w:rPr>
          <w:rFonts w:ascii="Times New Roman" w:hAnsi="Times New Roman" w:cs="Times New Roman"/>
          <w:sz w:val="28"/>
          <w:szCs w:val="28"/>
          <w:lang w:val="uk-UA"/>
        </w:rPr>
        <w:t>господарського (економічного) законодавства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» поділено на 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складові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І) 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засади;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ІІ) 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емпірична основа;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ІІІ) 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>концептуальні орієнтири модернізації господарського законодавства. Кожну складову сформульовано у максимально узагальненому, вивіреному та виваженому вигляді змісті декількох пунктів. При цьому рівень оптимальності формулювання цих пунктів є настільки високим, що спроба стислого наведення цих пунктів призведе лише до повного їх копіювання, адже скоротити обсяг жодного пункту без втрати якоїсь ознаки або й сенсу взагалі неможливо.</w:t>
      </w:r>
    </w:p>
    <w:p w14:paraId="215C3F78" w14:textId="40803F19" w:rsidR="00EB06B6" w:rsidRPr="005E7BE0" w:rsidRDefault="0092662F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В о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станн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</w:t>
      </w:r>
      <w:r w:rsidR="00EB06B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модернізації господарського законодавства України «</w:t>
      </w:r>
      <w:r w:rsidR="00E8680E" w:rsidRPr="005E7BE0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модернізації господарського (економічного) законодавства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» зазначено, що проведення модернізації сприятиме покращенню умов ведення господарської (економічної) діяльності в Україні, загального соціально-економічного стану країни, підвищенню її позицій у рейтингу «Doing Business», зокрема, дозволить забезпечити:</w:t>
      </w:r>
    </w:p>
    <w:p w14:paraId="7EC63DE8" w14:textId="122995FA" w:rsidR="00EB06B6" w:rsidRPr="005E7BE0" w:rsidRDefault="00EB06B6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досягнення правової визначеності основних засад господарської (економічної) діяльності з урахуванням сучасних економічних реалій в умовах наближення законодавства України до права ЄС;</w:t>
      </w:r>
    </w:p>
    <w:p w14:paraId="2949DE9B" w14:textId="77777777" w:rsidR="00EB06B6" w:rsidRPr="005E7BE0" w:rsidRDefault="00EB06B6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упорядкованість організації і здійснення господарської (економічної) діяльності на більш високому рівні;</w:t>
      </w:r>
    </w:p>
    <w:p w14:paraId="6A5D21E4" w14:textId="77777777" w:rsidR="00EB06B6" w:rsidRPr="005E7BE0" w:rsidRDefault="00EB06B6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взаємоузгодженість нормативно-правових актів, що регулюють відносини у сфері економіки, відповідність законодавства сучасним потребам суб’єктів господарювання;</w:t>
      </w:r>
    </w:p>
    <w:p w14:paraId="51BBF100" w14:textId="77777777" w:rsidR="00EB06B6" w:rsidRPr="005E7BE0" w:rsidRDefault="00EB06B6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- підвищення рівня ділової активності суб’єктів господарської (економічної) діяльності, дотримання ними правил провадження цієї діяльності, розширення кола таких суб’єктів;</w:t>
      </w:r>
    </w:p>
    <w:p w14:paraId="39AEE879" w14:textId="77777777" w:rsidR="0092662F" w:rsidRPr="005E7BE0" w:rsidRDefault="00EB06B6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оптимальне поєднання державного регулювання і ринкової саморегуляції економіки, збалансування публічних і приватних інтересів в економічній сфері; системне усунення корупційних ризиків в економічних відносинах;</w:t>
      </w:r>
    </w:p>
    <w:p w14:paraId="2827CA70" w14:textId="77777777" w:rsidR="0092662F" w:rsidRPr="005E7BE0" w:rsidRDefault="0092662F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розвиток добросовісної конкуренції, створення сприятливого інвестиційного клімату та утримання макроекономічної стабільності;</w:t>
      </w:r>
    </w:p>
    <w:p w14:paraId="4FD0C856" w14:textId="77777777" w:rsidR="0092662F" w:rsidRPr="005E7BE0" w:rsidRDefault="0092662F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створення нових робочих місць, підвищення доходів і зниження рівня бідності населення, зменшення соціальної нерівності в суспільстві;</w:t>
      </w:r>
    </w:p>
    <w:p w14:paraId="28FC63A1" w14:textId="77777777" w:rsidR="0092662F" w:rsidRPr="005E7BE0" w:rsidRDefault="0092662F" w:rsidP="00EB06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розвиток високотехнологічних виробництв, покращення якості товарів і послуг, підвищення експортного потенціалу українських виробників;</w:t>
      </w:r>
    </w:p>
    <w:p w14:paraId="20C80547" w14:textId="345C8F88" w:rsidR="0036293F" w:rsidRPr="005E7BE0" w:rsidRDefault="0092662F" w:rsidP="003629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посилення дієвості захисту прав та інтересів суб’єктів господарювання; єдність відповідної правозастосовної (в тому числі судової) практики; зменшення кількості економічних правопорушень, господарських спорів, які підлягають судовому розгляду; виведення принципів господарювання на рівень дієвих інструментів вирішення господарських спорів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105A8" w:rsidRPr="005E7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, с. 19]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37ACCD" w14:textId="4C7E6506" w:rsidR="005E7BE0" w:rsidRPr="005E7BE0" w:rsidRDefault="0036293F" w:rsidP="003629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iCs/>
          <w:sz w:val="28"/>
          <w:szCs w:val="28"/>
          <w:lang w:val="uk-UA"/>
        </w:rPr>
        <w:t>Схарактеризовану вище Концепцію було розроблено у 2019 році провідними вченими-господарниками, які є представниками різних наукових шкіл господарського права. У тому ж році її було максимально скорочено в обсязі, але не за суттю. Сьогодні Концепція існує у розгорнутому (тобто з окремими поясненнями та уточненнями) і скороченому виглядах. На жаль, допоки вона залишається невідомою широкому загалу. Цю ваду планується усунути через її максимальне поширення в юридичних наукових колах.</w:t>
      </w:r>
      <w:r w:rsidR="005E7BE0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Її положення усе активніше обговорюються на рівні закладів вищої освіти, наукових установ, громадських організацій, органів судової влади.</w:t>
      </w:r>
    </w:p>
    <w:p w14:paraId="0CE00FE2" w14:textId="2234E4BB" w:rsidR="00EB06B6" w:rsidRPr="005E7BE0" w:rsidRDefault="0036293F" w:rsidP="003629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Неознайомленість юристів із змістом Концепції спричинила відсутність її оцінки у науковій та спеціальній юридичній літературі. Цю ваду можна швидко усунути після усунення першої. Прогресивність Концепції випливає з її виваженої структури та </w:t>
      </w:r>
      <w:r w:rsidR="00E93DA2" w:rsidRPr="005E7BE0">
        <w:rPr>
          <w:rFonts w:ascii="Times New Roman" w:hAnsi="Times New Roman" w:cs="Times New Roman"/>
          <w:iCs/>
          <w:sz w:val="28"/>
          <w:szCs w:val="28"/>
          <w:lang w:val="uk-UA"/>
        </w:rPr>
        <w:t>можливістю виведення економіки держави на новий рівень завдяки поступовій реалізації її положень. Перспективність Концепції зумовлюється</w:t>
      </w:r>
      <w:r w:rsidR="00A764D4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саме</w:t>
      </w:r>
      <w:r w:rsidR="00E93DA2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764D4" w:rsidRPr="005E7BE0">
        <w:rPr>
          <w:rFonts w:ascii="Times New Roman" w:hAnsi="Times New Roman" w:cs="Times New Roman"/>
          <w:iCs/>
          <w:sz w:val="28"/>
          <w:szCs w:val="28"/>
          <w:lang w:val="uk-UA"/>
        </w:rPr>
        <w:t>можливістю реалізації її положень, адже постійне обʼєктивне зростання кількості видів господарської діяльності потребує свого господарсько-правового забезпечення, яке так чи інакше буде сформовано у найближчій чи більш віддаленій перспективі.</w:t>
      </w:r>
    </w:p>
    <w:p w14:paraId="5066A46A" w14:textId="77777777" w:rsidR="00626E0F" w:rsidRPr="005E7BE0" w:rsidRDefault="00626E0F" w:rsidP="00B579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B7379A8" w14:textId="71EC079C" w:rsidR="000329CF" w:rsidRPr="005E7BE0" w:rsidRDefault="00FF2C5A" w:rsidP="00A2365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  <w:t>СПИСОК ВИКОРИСТАНИХ ДЖЕРЕЛ</w:t>
      </w:r>
      <w:r w:rsidR="0096265C" w:rsidRPr="005E7BE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  <w:t>:</w:t>
      </w:r>
    </w:p>
    <w:p w14:paraId="1CD85951" w14:textId="677D36BB" w:rsidR="00DA1F65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Беляневич О.А. «Публічний порядок» як оціночна категорія договірного права: спроба тлумачення.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господарського судочинства.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2004. № 1. С. 331–338.</w:t>
      </w:r>
    </w:p>
    <w:p w14:paraId="49A99659" w14:textId="77BD276C" w:rsidR="00695CF0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Подцерковний О.П., Беляневич О.А. </w:t>
      </w:r>
      <w:r w:rsidRPr="005E7BE0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Кодифікація економічного законодавства – вдосконалення на основі закордонного досвіду і аналізу вітчизняного застосування. 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Голос України. 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 квітня 2016.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hyperlink r:id="rId7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http://www.golos.com.ua/article/267038</w:t>
        </w:r>
      </w:hyperlink>
    </w:p>
    <w:p w14:paraId="2E9E5BA3" w14:textId="2DBE2E8D" w:rsidR="00695CF0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Бобкова А.Г. До питання стабільності в правовому регулюванні відносин в сфері економіки.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Реалізація чинних Цивільного та Господарського законодавства України: проблеми та перспективи: Зб. наук. праць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(за матер. наук.-практ. конф., м. Київ, 24 листоп. 2005 р.) / Редкол.: О.Д. Крупчан (голова) та ін. К.: НДІ приватного права і підприємництва АПрН України, 2006. С. 16–18.</w:t>
      </w:r>
    </w:p>
    <w:p w14:paraId="740CAAC4" w14:textId="38AFF493" w:rsidR="00695CF0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Вінник О.М. Публічні та приватні інтереси в господарських товариствах: проблеми правового забезпечення: Монографія. К: Атіка, 2003. 352 с.</w:t>
      </w:r>
    </w:p>
    <w:p w14:paraId="51466BFD" w14:textId="02DD7741" w:rsidR="00695CF0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Гайворонський В. Цивільне законодавство: від «нічого приватного» до «нічого публічного»? Вісник Академії правових наук України. 1997. № 4 (11). С. 91–100.</w:t>
      </w:r>
    </w:p>
    <w:p w14:paraId="203568A4" w14:textId="6AA2F588" w:rsidR="00695CF0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Грудницька С. Напрями розвитку законодавства про господарські об’єднання.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1998. № 5. С. 60–63. URL: </w:t>
      </w:r>
    </w:p>
    <w:p w14:paraId="7315DDC9" w14:textId="3680AD74" w:rsidR="00695CF0" w:rsidRPr="005E7BE0" w:rsidRDefault="00695CF0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Грудницька С.М. Шкідливе «надкушування» і загромадження господарського законодавства.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2013. 20–25 квіт. (№ 16). С. 4.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8" w:history="1">
        <w:r w:rsidR="00A42831"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https://dspace.nlu.edu.ua/handle/123456789/13763</w:t>
        </w:r>
      </w:hyperlink>
    </w:p>
    <w:p w14:paraId="05349A69" w14:textId="1FF96015" w:rsidR="00695CF0" w:rsidRPr="005E7BE0" w:rsidRDefault="00695CF0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Грудницька С.М. Відміна Господарського кодексу протирічитиме Конституції України і міжнародним документам. 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Trends of modern science – 2016: materials of the XII Internat. scient. and pract. conf.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Sheffield, 2016. Vol. 9: Low science. P. 41–46.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A42831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A42831"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https://dspace.nlu.edu.ua/handle/123456789/13210</w:t>
        </w:r>
      </w:hyperlink>
    </w:p>
    <w:p w14:paraId="3CE7C5FE" w14:textId="3363F835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Демченко С. Чи потрібен Україні Господарський кодекс?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Голос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2008. № 179. 20 вер. С. 7.</w:t>
      </w:r>
    </w:p>
    <w:p w14:paraId="482B3116" w14:textId="77777777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Деревянко Б.В. Доцільність регулювання відносин в економіці Господарським кодексом: зарубіжний досвід.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Форум права.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2016. № 2. С. 77–82. URL: </w:t>
      </w:r>
      <w:hyperlink r:id="rId10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http://nbuv.gov.ua/UJRN/FP_index.htm_2016_2_13</w:t>
        </w:r>
      </w:hyperlink>
    </w:p>
    <w:p w14:paraId="50141D19" w14:textId="77777777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Derevyanko B.V. The issues of the so-called «duality of private law» and functioning of Commercial codes.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International Scientific-Practical Conference Development of legal regulation in East Europe: experience of Poland and Ukraine: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Conference Proceedings, January 27–28, 2017. Sandomierz: Humanities and Natural Sciences University in Sandomierz, 2017. P. 91–94.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URL: </w:t>
      </w:r>
      <w:hyperlink r:id="rId11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http://dx.doi.org/10.2139/ssrn.3104878</w:t>
        </w:r>
      </w:hyperlink>
    </w:p>
    <w:p w14:paraId="743E633C" w14:textId="77777777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Деревянко Б.В. Про невиправдану недооцінку господарсько-правового регулювання відносин у сфері економіки.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 проблеми господарського права і господарського процесу: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круглого столу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(м. Київ, 9 листопада 2018 р.). К.: Видавництво Ліра-К, 2018. С. 49–52. URL: </w:t>
      </w:r>
      <w:hyperlink r:id="rId12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https://essuir.sumdu.edu.ua/handle/123456789/70546</w:t>
        </w:r>
      </w:hyperlink>
    </w:p>
    <w:p w14:paraId="42DDD279" w14:textId="77777777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Деревянко Б.В. Нові види господарської діяльності як резерв розширення предмета регулювання господарським законодавством. </w:t>
      </w:r>
      <w:r w:rsidRPr="005E7B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Правове забезпечення соціально-економічного розвитку: стан та перспективи: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Всеукраїнської науково-практичної конференції, присвяченої 35-річчю кафедри господарського права Донецького національного університету імені Василя Стуса (м. Вінниця, 11–12 жовтня 2019 р.). Наук. ред. А. Г. Бобкова, А. М. Захарченко. Вінниця: Донецький національний університет імені Василя Стуса, 2019. С. 80–81. URL: </w:t>
      </w:r>
      <w:hyperlink r:id="rId13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https://essuir.sumdu.edu.ua/handle/123456789/75016</w:t>
        </w:r>
      </w:hyperlink>
    </w:p>
    <w:p w14:paraId="46F1F16B" w14:textId="77777777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Деревянко Б.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доцільність регулювання відносин в економіці Господарським кодексом та неможливість такого регулювання лише кодексом Цивільним: зарубіжний досвід. </w:t>
      </w:r>
      <w:r w:rsidRPr="005E7BE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Судебно-юридическая газета.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 января 2020. URL: </w:t>
      </w:r>
      <w:hyperlink r:id="rId14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https://sud.ua/ru/news/blog/158409-pro-dotsilnist-regulyuvannya-vidnosin-v-ekonomitsi-gospodarskim-kodeksom-ta-nemozhlivist-takogo-regulyuvannya-lishe-kodeksom-tsivilnim-zarubizhniy-dosvid</w:t>
        </w:r>
      </w:hyperlink>
    </w:p>
    <w:p w14:paraId="1D35E737" w14:textId="010564A0" w:rsidR="00A42831" w:rsidRPr="005E7BE0" w:rsidRDefault="00A42831" w:rsidP="00A2365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Деревянко Б. Міркування про необхідність запровадження концепції розвитку «приватного права» та визначення її назви і змісту. </w:t>
      </w:r>
      <w:r w:rsidRPr="005E7BE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Підприємництво, господарство і право.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2020. № 4. С. 245–250. URL: </w:t>
      </w:r>
      <w:hyperlink r:id="rId15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http://pgp-journal.kiev.ua/archive/2020/4/42.pdf</w:t>
        </w:r>
      </w:hyperlink>
    </w:p>
    <w:p w14:paraId="72232C55" w14:textId="77777777" w:rsidR="00A42831" w:rsidRPr="005E7BE0" w:rsidRDefault="00A42831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Устименко В., Джабраілов Р. Проблеми та перспективи впровадження державно-приватного партнерства у відносини у сфері господарювання.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Схід.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2011. № 1 (108). С. 175–178.</w:t>
      </w:r>
    </w:p>
    <w:p w14:paraId="3F6BB565" w14:textId="7C0DA550" w:rsidR="00695CF0" w:rsidRPr="005E7BE0" w:rsidRDefault="00A42831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Устименко В.А., Джабраілов Р.А. Господарський кодекс України – шлях до європейських правових традицій.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господарського судочинства.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2016. № 1. С. 146–152.</w:t>
      </w:r>
    </w:p>
    <w:p w14:paraId="328BE127" w14:textId="0B347167" w:rsidR="00A42831" w:rsidRPr="005E7BE0" w:rsidRDefault="00A42831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 xml:space="preserve">Джунь В. «Теракты» и «антитеррор»: перемирие? </w:t>
      </w:r>
      <w:r w:rsidRPr="005E7BE0">
        <w:rPr>
          <w:rFonts w:ascii="Times New Roman" w:hAnsi="Times New Roman" w:cs="Times New Roman"/>
          <w:i/>
          <w:iCs/>
          <w:snapToGrid w:val="0"/>
          <w:sz w:val="28"/>
          <w:szCs w:val="28"/>
          <w:lang w:val="uk-UA"/>
        </w:rPr>
        <w:t>Юридическая практика.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2004. 27 апр. № 17. С. 23.</w:t>
      </w:r>
    </w:p>
    <w:p w14:paraId="59068097" w14:textId="77777777" w:rsidR="006215B3" w:rsidRPr="005E7BE0" w:rsidRDefault="006215B3" w:rsidP="006215B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Задыхайло Д. Проблемы кодификации предпринимательского законодательства.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Предпринимательство, хозяйство и право.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1998. № 5. С. 3–6.</w:t>
      </w:r>
    </w:p>
    <w:p w14:paraId="20F0109B" w14:textId="77777777" w:rsidR="006215B3" w:rsidRPr="005E7BE0" w:rsidRDefault="00A42831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Задихайло Д.В. Конституційний економічний порядок та правовий господарський порядок: питання системної відповідності.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Розвиток господарсько-правового забезпечення сучасної економіки: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міжнародної науково-практичної конференції. Ч. ІІ. Донецьк, 27 жовтня 2006 року. Донецьк: Норд-пресс, 2006. С. 9–12.</w:t>
      </w:r>
    </w:p>
    <w:p w14:paraId="57561B4C" w14:textId="591F77AB" w:rsidR="006215B3" w:rsidRPr="005E7BE0" w:rsidRDefault="006215B3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Зєльдіна О. Кодифікація законодавства як засіб забезпечення його стабільності.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2009. № 5. С. 67–72.</w:t>
      </w:r>
    </w:p>
    <w:p w14:paraId="49A05756" w14:textId="77777777" w:rsidR="006215B3" w:rsidRPr="005E7BE0" w:rsidRDefault="006215B3" w:rsidP="006215B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Знаменський Г. Про концепцію господарського (торговельного) кодексу України.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1992. № 10. С. 46–49.</w:t>
      </w:r>
    </w:p>
    <w:p w14:paraId="3E348FB4" w14:textId="77777777" w:rsidR="006215B3" w:rsidRPr="005E7BE0" w:rsidRDefault="006215B3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Знаменський Г. Господарський кодекс України : концептуальний задум і реалії законотворення.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Юридична Україна.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2003. № 5. С. 17–23.;</w:t>
      </w:r>
    </w:p>
    <w:p w14:paraId="7B8A421C" w14:textId="77777777" w:rsidR="00A21F28" w:rsidRPr="005E7BE0" w:rsidRDefault="00A21F28" w:rsidP="00A21F28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Знаменський Г.Л. Кодифікація і гармонізація економічного законодавства.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2003. 20–26 вересня.</w:t>
      </w:r>
    </w:p>
    <w:p w14:paraId="4D8DD922" w14:textId="77777777" w:rsidR="00A21F28" w:rsidRPr="00A21F28" w:rsidRDefault="006215B3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Знаменский Г.Л. Блеск и нищета современной цивилистики.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Экономика и право.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2004. № 2(9). С. 5–10.</w:t>
      </w:r>
    </w:p>
    <w:p w14:paraId="3652AE80" w14:textId="6F4A8529" w:rsidR="006215B3" w:rsidRPr="005E7BE0" w:rsidRDefault="006215B3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Лукач І.В., Поєдинок В.В. Європейська мета Економічного кодексу. 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Платформа стратегічної та законотворчої аналітики.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24.02.2020.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6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https://coordynata.com.ua/evropejska-meta-ekonomicnogo-kodeksu</w:t>
        </w:r>
      </w:hyperlink>
    </w:p>
    <w:p w14:paraId="5EB6AA20" w14:textId="77777777" w:rsidR="006215B3" w:rsidRPr="005E7BE0" w:rsidRDefault="006215B3" w:rsidP="006215B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Ілларіонов О.Ю. «Європейський досвід» кодифікації господарського законодавства.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№ 3. 22-28 січня 2016 р. С. 14 (початок).</w:t>
      </w:r>
    </w:p>
    <w:p w14:paraId="20A96B10" w14:textId="77777777" w:rsidR="006215B3" w:rsidRPr="005E7BE0" w:rsidRDefault="006215B3" w:rsidP="006215B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Ілларіонов О.Ю. «Європейський досвід» кодифікації господарського законодавства.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№ 4. 29 січня – 4 лютого 2016 р. С. 14 (закінчення).</w:t>
      </w:r>
    </w:p>
    <w:p w14:paraId="326BDD8A" w14:textId="4886CA30" w:rsidR="006215B3" w:rsidRPr="005E7BE0" w:rsidRDefault="006215B3" w:rsidP="006215B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Ілларіонов О.Ю. 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Рекодифікація господарського законодавства: проблеми та напрями. 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Актуальні проблеми господарського права і господарс</w:t>
      </w:r>
      <w:r w:rsid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ь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кого процесу</w:t>
      </w:r>
      <w:r w:rsid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(м. Київ, 9 листопада 2018 року). К., 2018. С. 77–81.</w:t>
      </w:r>
    </w:p>
    <w:p w14:paraId="75515918" w14:textId="77777777" w:rsidR="006215B3" w:rsidRPr="005E7BE0" w:rsidRDefault="006215B3" w:rsidP="00A42831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Ілларіонов О.Ю. Рекодифікація = декодифікація?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Ліга-Блоги.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24.07.2019. URL: </w:t>
      </w:r>
      <w:hyperlink r:id="rId17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https://blog.liga.net/user/aillarionov/article/34014</w:t>
        </w:r>
      </w:hyperlink>
    </w:p>
    <w:p w14:paraId="6DB49176" w14:textId="77B74E6C" w:rsidR="006215B3" w:rsidRPr="005E7BE0" w:rsidRDefault="006215B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Кологойда О.В. Про роль і значення Господарського кодексу України у регулюванні відносин на фондовому ринку.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Реформування господарського законодавства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Збірник тез і матеріалів учасників круглого столу, проведеного за участю Вищого господарського суду України, Київського національного університету імені Тараса Шевченка, Інституту економіко-правових досліджень НАН України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31 березня 2016 року, м. Київ. К.: Видавництво Ліра-К, 2016. С. 138–141.</w:t>
      </w:r>
    </w:p>
    <w:p w14:paraId="7A798880" w14:textId="77777777" w:rsidR="00536BB4" w:rsidRPr="005E7BE0" w:rsidRDefault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Мамутов В.К. Проблемы кодификации хозяйственного законодательства. </w:t>
      </w:r>
      <w:r w:rsidRPr="005E7BE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Проблемы становления хозяйственного законодательства Украины: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сб. науч. ст. и матер. конф. (г. Донецк, 19-20 мая 1993 г.); АН Украины, Ин-т экон.-прав. исслед.; редкол.: В.К. Мамутов (отв. ред.) и др. Донецк, 1993. С. 3–17.</w:t>
      </w:r>
    </w:p>
    <w:p w14:paraId="5ECCD09C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Мамутов В.К. Кодификация хозяйственного законодательства Украины в новых экономических условиях. </w:t>
      </w:r>
      <w:r w:rsidRPr="005E7BE0">
        <w:rPr>
          <w:rFonts w:ascii="Times New Roman" w:hAnsi="Times New Roman" w:cs="Times New Roman"/>
          <w:i/>
          <w:iCs/>
          <w:snapToGrid w:val="0"/>
          <w:sz w:val="28"/>
          <w:szCs w:val="28"/>
          <w:lang w:val="uk-UA"/>
        </w:rPr>
        <w:t>Государство и право.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1994. № 6. С. 77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>87.</w:t>
      </w:r>
    </w:p>
    <w:p w14:paraId="3E1EC72B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Мамутов В. Конституция и развитие хозяйственного законодательства.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Предпринимательство, хозяйство и право.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1997. № 1. С. 3–6.</w:t>
      </w:r>
    </w:p>
    <w:p w14:paraId="69DB09DA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>Мамутов В.К. Опыт сочетания государственного регулирования экономики и рыночного саморегулирования. Донецк: ИЭПИ НАН Украины, 1998. 38 с.</w:t>
      </w:r>
    </w:p>
    <w:p w14:paraId="1331E4EE" w14:textId="67FBB36A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Мамутов В. Нужен Хозяйственный кодекс.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Обеспечение общественного хозяйственного порядка: Сб. выступлений в периодической печати ученых и практиков о необходимости принятия Хозяйственного (Коммерческого) кодекса Украины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/ Координационное бюро АПрНУ. Донецк, 1998. С. 45–51.</w:t>
      </w:r>
    </w:p>
    <w:p w14:paraId="42EC8CED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Мамутов В. Досвід окремої кодифікації та інкорпорації господарського та цивільного законодавства.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Юридична Україна.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2003. № 2. С. 9–12.</w:t>
      </w:r>
    </w:p>
    <w:p w14:paraId="3C5341B8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Мамутов В.К. Так ли страшен ХК, как его малюют. В чём проблема применения Гражданского и Хозяйственного кодексов? </w:t>
      </w:r>
      <w:r w:rsidRPr="005E7BE0">
        <w:rPr>
          <w:rFonts w:ascii="Times New Roman" w:hAnsi="Times New Roman" w:cs="Times New Roman"/>
          <w:i/>
          <w:iCs/>
          <w:snapToGrid w:val="0"/>
          <w:sz w:val="28"/>
          <w:szCs w:val="28"/>
          <w:lang w:val="uk-UA"/>
        </w:rPr>
        <w:t>Закон и бизнес.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2004. 21 февр. № 8. С. 5.</w:t>
      </w:r>
    </w:p>
    <w:p w14:paraId="2F4C7DFC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Мамутов В.К. Противоречия устраняются судебной практикой, или что нам дало принятие Хозяйственного кодекса. </w:t>
      </w:r>
      <w:r w:rsidRPr="005E7BE0">
        <w:rPr>
          <w:rFonts w:ascii="Times New Roman" w:hAnsi="Times New Roman" w:cs="Times New Roman"/>
          <w:i/>
          <w:iCs/>
          <w:snapToGrid w:val="0"/>
          <w:sz w:val="28"/>
          <w:szCs w:val="28"/>
          <w:lang w:val="uk-UA"/>
        </w:rPr>
        <w:t>Закон и бизнес.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2005. 12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>18 марта. № 11. С. 9.</w:t>
      </w:r>
    </w:p>
    <w:p w14:paraId="1B791CCC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Мамутов В. Посилення публічних засад у правовому регулюванні господарської діяльності. </w:t>
      </w:r>
      <w:r w:rsidRPr="005E7BE0">
        <w:rPr>
          <w:rFonts w:ascii="Times New Roman" w:hAnsi="Times New Roman" w:cs="Times New Roman"/>
          <w:i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2009. № 9. С. 83–94.</w:t>
      </w:r>
    </w:p>
    <w:p w14:paraId="10528991" w14:textId="77777777" w:rsidR="00536BB4" w:rsidRPr="005E7BE0" w:rsidRDefault="00536BB4" w:rsidP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Мамутов В.К. Важное направление правового обеспечения экономики – кодификация: науч. доклад / НАН Украины. Ин-т экономико-правовых исследований. Донецк: Юго-Восток, 2009. 34 с.</w:t>
      </w:r>
    </w:p>
    <w:p w14:paraId="363160A3" w14:textId="77777777" w:rsidR="00536BB4" w:rsidRPr="005E7BE0" w:rsidRDefault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Мамутов В.К. Загальні проблеми науки господарського права на стику ХХ і XXI століть. </w:t>
      </w:r>
      <w:r w:rsidRPr="005E7BE0">
        <w:rPr>
          <w:rFonts w:ascii="Times New Roman" w:hAnsi="Times New Roman" w:cs="Times New Roman"/>
          <w:i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2010. № 8. С. 4–12.</w:t>
      </w:r>
    </w:p>
    <w:p w14:paraId="7D1A72D5" w14:textId="77777777" w:rsidR="00536BB4" w:rsidRPr="005E7BE0" w:rsidRDefault="00536BB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Мамутов В. Господарський кодекс у системі правового забезпечення економіки в Україні.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2012. № 1–2. С. 203–215.</w:t>
      </w:r>
    </w:p>
    <w:p w14:paraId="610D12AC" w14:textId="01C9196B" w:rsidR="00536BB4" w:rsidRPr="005E7BE0" w:rsidRDefault="008C76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uk-UA" w:eastAsia="ru-RU"/>
        </w:rPr>
      </w:pPr>
      <w:r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Пацурія Н.Б. Кодифікація господарського (економічного) законодавства з позицій економічного аналізу права: нарративний аналіз. </w:t>
      </w:r>
      <w:r w:rsidRPr="005E7BE0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Судебно-юридическая газета.</w:t>
      </w:r>
      <w:r w:rsidRPr="005E7BE0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 23 декабря 2019.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URL: </w:t>
      </w:r>
      <w:hyperlink r:id="rId18" w:history="1">
        <w:r w:rsidRPr="005E7BE0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https://sud.ua/ru/news/blog/157373-kodifikatsiya-gospodarskogo-ekonomichnogo-zakonodavstva-z-pozitsiy-ekonomichnogo-analizu-prava-narrativniy-analiz</w:t>
        </w:r>
      </w:hyperlink>
    </w:p>
    <w:p w14:paraId="25DADC68" w14:textId="77777777" w:rsidR="003C072B" w:rsidRPr="005E7BE0" w:rsidRDefault="003C072B" w:rsidP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Подцерковний О.П.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Новели Господарського кодексу України.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Матеріали міжнародної науково-практичної конференції «Трансформація відносин в Україні: організаційно-правові та економічні проблеми»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(15 травня 2003). Одеса: ОНУ МОНУ, «Астропринт», 2003. С. 85–86.</w:t>
      </w:r>
    </w:p>
    <w:p w14:paraId="3EAF24C1" w14:textId="77777777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Подцерковний О. Два роки з моменту прийняття Господарського кодексу України: деякі підсумки та перспективи. </w:t>
      </w:r>
      <w:r w:rsidRPr="005E7BE0">
        <w:rPr>
          <w:rFonts w:ascii="Times New Roman" w:hAnsi="Times New Roman" w:cs="Times New Roman"/>
          <w:i/>
          <w:iCs/>
          <w:snapToGrid w:val="0"/>
          <w:sz w:val="28"/>
          <w:szCs w:val="28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2005. 12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>18 берез. № 10. С. 8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>9.</w:t>
      </w:r>
    </w:p>
    <w:p w14:paraId="0DE4151E" w14:textId="010F47F1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Радзивілюк В.В. Господарський кодекс України як відображення традиції європейських кодифікацій комерційного (торгового) права.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Реформування господарського законодавства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Збірник тез і матеріалів учасників круглого столу, проведеного за участю Вищого господарського суду України, Київського національного університету імені Тараса Шевченка, Інституту економіко-правових досліджень НАН України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31 березня 2016 року, м. Київ. К.: Видавництво Ліра-К, 2016. С. 141–143.</w:t>
      </w:r>
    </w:p>
    <w:p w14:paraId="5B2DEA71" w14:textId="5E11B93A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Рєзнікова В.В. Скасування Господарського кодексу України: спосіб ефективної модернізації правового регулювання господарської діяльності чи дестабілізуючий фактор для сфери господарювання ?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Реформування господарського законодавства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Збірник тез і матеріалів учасників круглого столу, проведеного за участю Вищого господарського суду України, Київського національного університету імені Тараса Шевченка, Інституту економіко-правових досліджень НАН України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31 березня 2016 року, м. Київ. К.: Видавництво Ліра-К, 2016. С. 102–106.</w:t>
      </w:r>
    </w:p>
    <w:p w14:paraId="68FBCD05" w14:textId="1EF528B0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Рєзнікова В.В., Щербина В.С. </w:t>
      </w:r>
      <w:r w:rsidRPr="005E7BE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Господарський кодекс потребує доопрацювання, але не скасування. </w:t>
      </w:r>
      <w:r w:rsidRPr="005E7BE0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Lex Inform. Юридичні новини України</w:t>
      </w:r>
      <w:r w:rsidRPr="005E7BE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. 13.12.2019. 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9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https://lexinform.com.ua/zakonodavstvo/gospodarskyj-kodeks-potrebuye-doopratsyuvannya-ale-ne-skasuvannya/</w:t>
        </w:r>
      </w:hyperlink>
    </w:p>
    <w:p w14:paraId="42479DAD" w14:textId="0B87DC94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Рєзнікова В.В. 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Сталий розвиток національної економіки неможливий без економічного багатоманіття. </w:t>
      </w:r>
      <w:r w:rsidRPr="005E7B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2021. № 12. С. 6–7.</w:t>
      </w:r>
    </w:p>
    <w:p w14:paraId="7FF24C1F" w14:textId="77777777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Розовский Б.Г. Король умер ? Да здравствует король! Хозяйственный кодекс и остальное: НАН Украины. Ин-т экономико-правовых исследований. Чернигов: Десна Полиграф, 2016. 64 с.</w:t>
      </w:r>
    </w:p>
    <w:p w14:paraId="7625BFFA" w14:textId="0D5F2D3D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Розовский Б.Г. Король жив. Но нуждается в лечении: НАН Украины. Ин-т экономико-правовых исследований. Чернигов: Десна Полиграф, 2017. 232 с.</w:t>
      </w:r>
    </w:p>
    <w:p w14:paraId="2B565094" w14:textId="77777777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Устименко В.А. Стан господарського законодавства та перспективи його вдосконалення.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Реформування господарського законодавства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Збірник тез і матеріалів учасників круглого столу, проведеного за участю Вищого господарського суду України, Київського національного університету імені Тараса Шевченка, Інституту економіко-правових досліджень НАН України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31 березня 2016 року, м. Київ. К.: Видавництво Ліра-К, 2016. С. 114–120.</w:t>
      </w:r>
    </w:p>
    <w:p w14:paraId="175726E6" w14:textId="295E156F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Устименко В.А. Правовий господарський порядок як засіб забезпечення сталого розвитку економіки України.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Бюлетень Міністерства юстиції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2009. № 11. С. 46–48.</w:t>
      </w:r>
    </w:p>
    <w:p w14:paraId="19690ABC" w14:textId="7C3B3D39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Шаповалова О. Сквозные функции хозяйственного законодательства в обеспечении трансформации экономики. </w:t>
      </w:r>
      <w:r w:rsidRPr="005E7BE0">
        <w:rPr>
          <w:rFonts w:ascii="Times New Roman" w:hAnsi="Times New Roman" w:cs="Times New Roman"/>
          <w:i/>
          <w:iCs/>
          <w:snapToGrid w:val="0"/>
          <w:sz w:val="28"/>
          <w:szCs w:val="28"/>
          <w:lang w:val="uk-UA"/>
        </w:rPr>
        <w:t>Підприємництво, господарство і право.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2003. № 9. С. 54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snapToGrid w:val="0"/>
          <w:sz w:val="28"/>
          <w:szCs w:val="28"/>
          <w:lang w:val="uk-UA"/>
        </w:rPr>
        <w:t>58.</w:t>
      </w:r>
    </w:p>
    <w:p w14:paraId="28881459" w14:textId="77777777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Щербина В. С. Суб’єкти господарського права : монографія. К.: Юрінком Інтер, 2008. 264 с.</w:t>
      </w:r>
    </w:p>
    <w:p w14:paraId="10817310" w14:textId="77777777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Щербина В.С. Деякі проблеми удосконалення господарського і господарсько-процесуального законодавства. </w:t>
      </w:r>
      <w:r w:rsidRPr="005E7BE0">
        <w:rPr>
          <w:rFonts w:ascii="Times New Roman" w:hAnsi="Times New Roman" w:cs="Times New Roman"/>
          <w:i/>
          <w:sz w:val="28"/>
          <w:szCs w:val="28"/>
          <w:lang w:val="uk-UA"/>
        </w:rPr>
        <w:t>Право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2010. № 8. С. 14–23.</w:t>
      </w:r>
    </w:p>
    <w:p w14:paraId="0887572C" w14:textId="77777777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Щербина В.С. Публічні й приватні інтереси в господарських відносинах. </w:t>
      </w:r>
      <w:r w:rsidRPr="005E7BE0">
        <w:rPr>
          <w:rFonts w:ascii="Times New Roman" w:hAnsi="Times New Roman" w:cs="Times New Roman"/>
          <w:i/>
          <w:sz w:val="28"/>
          <w:szCs w:val="28"/>
          <w:lang w:val="uk-UA"/>
        </w:rPr>
        <w:t>Приватне право і підприємництво.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2014. Вип. 13. С. 28–31.</w:t>
      </w:r>
    </w:p>
    <w:p w14:paraId="07A89F3C" w14:textId="4B27D6E0" w:rsidR="003C072B" w:rsidRPr="005E7BE0" w:rsidRDefault="003C072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Щербина В.С. Кодифікація чи декодифікація господарського законодавства України: який шлях обрати ? </w:t>
      </w:r>
      <w:r w:rsidRPr="005E7BE0">
        <w:rPr>
          <w:rStyle w:val="aa"/>
          <w:rFonts w:ascii="Times New Roman" w:hAnsi="Times New Roman" w:cs="Times New Roman"/>
          <w:b w:val="0"/>
          <w:bCs w:val="0"/>
          <w:i/>
          <w:iCs/>
          <w:spacing w:val="5"/>
          <w:sz w:val="28"/>
          <w:szCs w:val="28"/>
          <w:shd w:val="clear" w:color="auto" w:fill="FFFFFF"/>
          <w:lang w:val="uk-UA"/>
        </w:rPr>
        <w:t>Право та інновації.</w:t>
      </w:r>
      <w:r w:rsidRPr="005E7BE0">
        <w:rPr>
          <w:rStyle w:val="aa"/>
          <w:rFonts w:ascii="Times New Roman" w:hAnsi="Times New Roman" w:cs="Times New Roman"/>
          <w:b w:val="0"/>
          <w:bCs w:val="0"/>
          <w:spacing w:val="5"/>
          <w:sz w:val="28"/>
          <w:szCs w:val="28"/>
          <w:shd w:val="clear" w:color="auto" w:fill="FFFFFF"/>
          <w:lang w:val="uk-UA"/>
        </w:rPr>
        <w:t xml:space="preserve"> 2016. № 2. С. 108–109.</w:t>
      </w:r>
    </w:p>
    <w:p w14:paraId="526B2970" w14:textId="2B72A5BA" w:rsidR="003C072B" w:rsidRPr="005E7BE0" w:rsidRDefault="00B105A8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uk-UA" w:eastAsia="ru-RU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Щербина В.С. До питання щодо рекодифікації цивільного законодавства. </w:t>
      </w:r>
      <w:r w:rsidRPr="005E7BE0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Голос України.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21 грудня 2019. URL: </w:t>
      </w:r>
      <w:hyperlink r:id="rId20" w:history="1">
        <w:r w:rsidRPr="005E7B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http://www.golos.com.ua/article/325640</w:t>
        </w:r>
      </w:hyperlink>
    </w:p>
    <w:p w14:paraId="684C9115" w14:textId="488A3B8A" w:rsidR="00B105A8" w:rsidRPr="005E7BE0" w:rsidRDefault="00B105A8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модернізації господарського законодавства України. </w:t>
      </w:r>
      <w:r w:rsidRPr="005E7BE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2021. 2-22 квітня (№ 13-15). С. 18</w:t>
      </w:r>
      <w:r w:rsidR="00323075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19.</w:t>
      </w:r>
    </w:p>
    <w:p w14:paraId="4A97B31E" w14:textId="14231D43" w:rsidR="00B105A8" w:rsidRPr="005E7BE0" w:rsidRDefault="00AF14C6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Науково-експертний висновок до Концепції оновлення Цивільного кодексу України: брошура / під заг. ред. члена-кореспондента НАН України В.А. Устименка. Київ: НАН України, ДУ «Інститут економіко-правових досліджень імені В.К. Мамутова НАН України», 2021. 112 с.</w:t>
      </w:r>
    </w:p>
    <w:sectPr w:rsidR="00B105A8" w:rsidRPr="005E7BE0" w:rsidSect="00FF2C5A">
      <w:headerReference w:type="default" r:id="rId21"/>
      <w:pgSz w:w="11906" w:h="16838" w:code="9"/>
      <w:pgMar w:top="2268" w:right="1134" w:bottom="1134" w:left="1361" w:header="0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A431" w14:textId="77777777" w:rsidR="00BD22BB" w:rsidRDefault="00BD22BB" w:rsidP="00FF2C5A">
      <w:pPr>
        <w:spacing w:after="0" w:line="240" w:lineRule="auto"/>
      </w:pPr>
      <w:r>
        <w:separator/>
      </w:r>
    </w:p>
  </w:endnote>
  <w:endnote w:type="continuationSeparator" w:id="0">
    <w:p w14:paraId="56998C8D" w14:textId="77777777" w:rsidR="00BD22BB" w:rsidRDefault="00BD22BB" w:rsidP="00F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2EA5A" w14:textId="77777777" w:rsidR="00BD22BB" w:rsidRDefault="00BD22BB" w:rsidP="00FF2C5A">
      <w:pPr>
        <w:spacing w:after="0" w:line="240" w:lineRule="auto"/>
      </w:pPr>
      <w:r>
        <w:separator/>
      </w:r>
    </w:p>
  </w:footnote>
  <w:footnote w:type="continuationSeparator" w:id="0">
    <w:p w14:paraId="72ACC982" w14:textId="77777777" w:rsidR="00BD22BB" w:rsidRDefault="00BD22BB" w:rsidP="00FF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584453"/>
      <w:docPartObj>
        <w:docPartGallery w:val="Page Numbers (Top of Page)"/>
        <w:docPartUnique/>
      </w:docPartObj>
    </w:sdtPr>
    <w:sdtContent>
      <w:p w14:paraId="67431DA5" w14:textId="530804ED" w:rsidR="00FF2C5A" w:rsidRDefault="00FF2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AE1D0" w14:textId="44C6F5CB" w:rsidR="00FF2C5A" w:rsidRPr="00FF2C5A" w:rsidRDefault="00FF2C5A" w:rsidP="00FF2C5A">
    <w:pPr>
      <w:pStyle w:val="a6"/>
      <w:jc w:val="both"/>
      <w:rPr>
        <w:lang w:val="uk-UA"/>
      </w:rPr>
    </w:pPr>
    <w:r w:rsidRPr="00FF2C5A">
      <w:rPr>
        <w:bCs/>
        <w:iCs/>
        <w:lang w:val="uk-UA"/>
      </w:rPr>
      <w:t xml:space="preserve">Деревянко Б.В. </w:t>
    </w:r>
    <w:r w:rsidRPr="00FF2C5A">
      <w:rPr>
        <w:lang w:val="uk-UA"/>
      </w:rPr>
      <w:t xml:space="preserve">Концепція модернізації господарського (економічного) законодавства України: невідома, недооцінена, проте прогресивна і перспективна. </w:t>
    </w:r>
    <w:r w:rsidRPr="00FF2C5A">
      <w:rPr>
        <w:i/>
        <w:iCs/>
        <w:lang w:val="uk-UA"/>
      </w:rPr>
      <w:t>Правове забезпечення ринкових відносин в умовах громадянського суспільства:</w:t>
    </w:r>
    <w:r w:rsidRPr="00FF2C5A">
      <w:rPr>
        <w:lang w:val="uk-UA"/>
      </w:rPr>
      <w:t xml:space="preserve"> збірник наукових праць. Випуск 4. К.: Науково-дослідний інститут приватного права і підприємництва імені академіка Ф.Г. Бурчака Національної академії правових наук України, 2021. С. 109–124.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728718"/>
    <w:multiLevelType w:val="hybridMultilevel"/>
    <w:tmpl w:val="CA8E38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A45F11"/>
    <w:multiLevelType w:val="hybridMultilevel"/>
    <w:tmpl w:val="DCFC4C6A"/>
    <w:lvl w:ilvl="0" w:tplc="2218657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C7240D2"/>
    <w:multiLevelType w:val="hybridMultilevel"/>
    <w:tmpl w:val="A5DEB4B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5DFE"/>
    <w:multiLevelType w:val="hybridMultilevel"/>
    <w:tmpl w:val="D546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B0B81"/>
    <w:multiLevelType w:val="hybridMultilevel"/>
    <w:tmpl w:val="2DB4DF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C564F"/>
    <w:multiLevelType w:val="hybridMultilevel"/>
    <w:tmpl w:val="64B28CF0"/>
    <w:lvl w:ilvl="0" w:tplc="539619C0">
      <w:numFmt w:val="bullet"/>
      <w:lvlText w:val="-"/>
      <w:lvlJc w:val="left"/>
      <w:pPr>
        <w:tabs>
          <w:tab w:val="num" w:pos="1092"/>
        </w:tabs>
        <w:ind w:left="1092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624E"/>
    <w:multiLevelType w:val="hybridMultilevel"/>
    <w:tmpl w:val="AB5EDFE8"/>
    <w:lvl w:ilvl="0" w:tplc="150275C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59"/>
    <w:rsid w:val="000015AB"/>
    <w:rsid w:val="00010BF2"/>
    <w:rsid w:val="0001483A"/>
    <w:rsid w:val="00030C30"/>
    <w:rsid w:val="000329CF"/>
    <w:rsid w:val="00034A7E"/>
    <w:rsid w:val="00046230"/>
    <w:rsid w:val="00051F79"/>
    <w:rsid w:val="00075DDA"/>
    <w:rsid w:val="0008355A"/>
    <w:rsid w:val="00092F3B"/>
    <w:rsid w:val="000A343B"/>
    <w:rsid w:val="000B3EA2"/>
    <w:rsid w:val="000C2523"/>
    <w:rsid w:val="000D6BD3"/>
    <w:rsid w:val="001102CC"/>
    <w:rsid w:val="0013579A"/>
    <w:rsid w:val="00152EEC"/>
    <w:rsid w:val="001530BF"/>
    <w:rsid w:val="00163C61"/>
    <w:rsid w:val="001768A1"/>
    <w:rsid w:val="00183395"/>
    <w:rsid w:val="001926EA"/>
    <w:rsid w:val="00197C53"/>
    <w:rsid w:val="001B146E"/>
    <w:rsid w:val="001C5752"/>
    <w:rsid w:val="001D6694"/>
    <w:rsid w:val="001E2866"/>
    <w:rsid w:val="00201C22"/>
    <w:rsid w:val="002149B4"/>
    <w:rsid w:val="00217DD1"/>
    <w:rsid w:val="0022200C"/>
    <w:rsid w:val="00251181"/>
    <w:rsid w:val="00251ED9"/>
    <w:rsid w:val="00252217"/>
    <w:rsid w:val="00262345"/>
    <w:rsid w:val="00272ACE"/>
    <w:rsid w:val="00277304"/>
    <w:rsid w:val="002858A7"/>
    <w:rsid w:val="0029036A"/>
    <w:rsid w:val="0029208C"/>
    <w:rsid w:val="002A105C"/>
    <w:rsid w:val="002C5B59"/>
    <w:rsid w:val="002D0950"/>
    <w:rsid w:val="002D3477"/>
    <w:rsid w:val="002D4141"/>
    <w:rsid w:val="003074FD"/>
    <w:rsid w:val="00314FAA"/>
    <w:rsid w:val="0031777C"/>
    <w:rsid w:val="00323075"/>
    <w:rsid w:val="00347695"/>
    <w:rsid w:val="00354342"/>
    <w:rsid w:val="0036293F"/>
    <w:rsid w:val="003862CF"/>
    <w:rsid w:val="00392F38"/>
    <w:rsid w:val="003C072B"/>
    <w:rsid w:val="003C575B"/>
    <w:rsid w:val="003E6E69"/>
    <w:rsid w:val="003F03B2"/>
    <w:rsid w:val="00403B25"/>
    <w:rsid w:val="004048A0"/>
    <w:rsid w:val="004139D4"/>
    <w:rsid w:val="00426881"/>
    <w:rsid w:val="004336F3"/>
    <w:rsid w:val="00455ED8"/>
    <w:rsid w:val="0047306A"/>
    <w:rsid w:val="004734F0"/>
    <w:rsid w:val="00477002"/>
    <w:rsid w:val="004A1A7D"/>
    <w:rsid w:val="004A5381"/>
    <w:rsid w:val="004A7895"/>
    <w:rsid w:val="004B1012"/>
    <w:rsid w:val="004F4FDC"/>
    <w:rsid w:val="005101D4"/>
    <w:rsid w:val="00536BB4"/>
    <w:rsid w:val="00540FA8"/>
    <w:rsid w:val="00541FAA"/>
    <w:rsid w:val="00544846"/>
    <w:rsid w:val="00583BD3"/>
    <w:rsid w:val="005C2AD8"/>
    <w:rsid w:val="005D3E53"/>
    <w:rsid w:val="005D4391"/>
    <w:rsid w:val="005D62A9"/>
    <w:rsid w:val="005E7BE0"/>
    <w:rsid w:val="006215B3"/>
    <w:rsid w:val="00626E0F"/>
    <w:rsid w:val="006375FB"/>
    <w:rsid w:val="00646775"/>
    <w:rsid w:val="006679CB"/>
    <w:rsid w:val="00687EBB"/>
    <w:rsid w:val="00695CF0"/>
    <w:rsid w:val="006A002C"/>
    <w:rsid w:val="006B17EC"/>
    <w:rsid w:val="006B5335"/>
    <w:rsid w:val="006B73D7"/>
    <w:rsid w:val="006C7770"/>
    <w:rsid w:val="006E5A6D"/>
    <w:rsid w:val="00723C98"/>
    <w:rsid w:val="00731A67"/>
    <w:rsid w:val="00735FD4"/>
    <w:rsid w:val="00747C5C"/>
    <w:rsid w:val="00757BA1"/>
    <w:rsid w:val="00761208"/>
    <w:rsid w:val="00765B29"/>
    <w:rsid w:val="00770115"/>
    <w:rsid w:val="007705A6"/>
    <w:rsid w:val="00772DDF"/>
    <w:rsid w:val="0078065D"/>
    <w:rsid w:val="00786C0D"/>
    <w:rsid w:val="00787ADF"/>
    <w:rsid w:val="00787BC9"/>
    <w:rsid w:val="00794C50"/>
    <w:rsid w:val="007A1C28"/>
    <w:rsid w:val="007B07C9"/>
    <w:rsid w:val="007F61CF"/>
    <w:rsid w:val="00806B89"/>
    <w:rsid w:val="008079AB"/>
    <w:rsid w:val="00830235"/>
    <w:rsid w:val="00883FFC"/>
    <w:rsid w:val="008C190F"/>
    <w:rsid w:val="008C4E51"/>
    <w:rsid w:val="008C5F70"/>
    <w:rsid w:val="008C7622"/>
    <w:rsid w:val="008D7BFB"/>
    <w:rsid w:val="008F4671"/>
    <w:rsid w:val="008F5DAD"/>
    <w:rsid w:val="00913EC1"/>
    <w:rsid w:val="0092662F"/>
    <w:rsid w:val="009402AB"/>
    <w:rsid w:val="009506FC"/>
    <w:rsid w:val="0096265C"/>
    <w:rsid w:val="00963F93"/>
    <w:rsid w:val="00965DCE"/>
    <w:rsid w:val="00967859"/>
    <w:rsid w:val="009758EB"/>
    <w:rsid w:val="009956FA"/>
    <w:rsid w:val="009A2712"/>
    <w:rsid w:val="009A372A"/>
    <w:rsid w:val="009A383E"/>
    <w:rsid w:val="009A3926"/>
    <w:rsid w:val="009A52A4"/>
    <w:rsid w:val="009C6B10"/>
    <w:rsid w:val="009D0B47"/>
    <w:rsid w:val="00A21EBE"/>
    <w:rsid w:val="00A21F28"/>
    <w:rsid w:val="00A2365F"/>
    <w:rsid w:val="00A42831"/>
    <w:rsid w:val="00A479D6"/>
    <w:rsid w:val="00A73B54"/>
    <w:rsid w:val="00A764D4"/>
    <w:rsid w:val="00A811F0"/>
    <w:rsid w:val="00A90F38"/>
    <w:rsid w:val="00A921E6"/>
    <w:rsid w:val="00AB370C"/>
    <w:rsid w:val="00AC4422"/>
    <w:rsid w:val="00AD16D8"/>
    <w:rsid w:val="00AF14C6"/>
    <w:rsid w:val="00B02FD3"/>
    <w:rsid w:val="00B105A8"/>
    <w:rsid w:val="00B15ED9"/>
    <w:rsid w:val="00B17AC4"/>
    <w:rsid w:val="00B26592"/>
    <w:rsid w:val="00B26D90"/>
    <w:rsid w:val="00B326DA"/>
    <w:rsid w:val="00B35A3C"/>
    <w:rsid w:val="00B40088"/>
    <w:rsid w:val="00B4033A"/>
    <w:rsid w:val="00B46557"/>
    <w:rsid w:val="00B579AB"/>
    <w:rsid w:val="00B77CFE"/>
    <w:rsid w:val="00BD1274"/>
    <w:rsid w:val="00BD22BB"/>
    <w:rsid w:val="00BE47DF"/>
    <w:rsid w:val="00BF3161"/>
    <w:rsid w:val="00C042BC"/>
    <w:rsid w:val="00C04D65"/>
    <w:rsid w:val="00C234E8"/>
    <w:rsid w:val="00C303EF"/>
    <w:rsid w:val="00C51AD3"/>
    <w:rsid w:val="00C73AEA"/>
    <w:rsid w:val="00C80093"/>
    <w:rsid w:val="00C97E1F"/>
    <w:rsid w:val="00CC1852"/>
    <w:rsid w:val="00D1776B"/>
    <w:rsid w:val="00D20EBC"/>
    <w:rsid w:val="00D23022"/>
    <w:rsid w:val="00D344AA"/>
    <w:rsid w:val="00D601E0"/>
    <w:rsid w:val="00D71D7B"/>
    <w:rsid w:val="00D938F8"/>
    <w:rsid w:val="00D94844"/>
    <w:rsid w:val="00D96DEB"/>
    <w:rsid w:val="00DA1F65"/>
    <w:rsid w:val="00DB39FE"/>
    <w:rsid w:val="00DB4B05"/>
    <w:rsid w:val="00DB76F1"/>
    <w:rsid w:val="00DC5223"/>
    <w:rsid w:val="00E26B89"/>
    <w:rsid w:val="00E35129"/>
    <w:rsid w:val="00E42859"/>
    <w:rsid w:val="00E43DDF"/>
    <w:rsid w:val="00E63823"/>
    <w:rsid w:val="00E74BAE"/>
    <w:rsid w:val="00E8680E"/>
    <w:rsid w:val="00E93DA2"/>
    <w:rsid w:val="00EA7337"/>
    <w:rsid w:val="00EB06B6"/>
    <w:rsid w:val="00EC0BD1"/>
    <w:rsid w:val="00EC12D9"/>
    <w:rsid w:val="00ED77CD"/>
    <w:rsid w:val="00EF1231"/>
    <w:rsid w:val="00F035DC"/>
    <w:rsid w:val="00F109E4"/>
    <w:rsid w:val="00F14001"/>
    <w:rsid w:val="00F26D83"/>
    <w:rsid w:val="00F62A36"/>
    <w:rsid w:val="00F9159A"/>
    <w:rsid w:val="00F93A75"/>
    <w:rsid w:val="00FA244E"/>
    <w:rsid w:val="00FB1C46"/>
    <w:rsid w:val="00FC517F"/>
    <w:rsid w:val="00FC6384"/>
    <w:rsid w:val="00FC6A79"/>
    <w:rsid w:val="00FD7A21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DC35"/>
  <w15:docId w15:val="{7C5EFA11-0DE6-48B6-82FB-AA4FC4A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A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basedOn w:val="a"/>
    <w:next w:val="a"/>
    <w:uiPriority w:val="99"/>
    <w:rsid w:val="00413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29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3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252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C5752"/>
  </w:style>
  <w:style w:type="paragraph" w:styleId="a6">
    <w:name w:val="header"/>
    <w:basedOn w:val="a"/>
    <w:link w:val="a7"/>
    <w:uiPriority w:val="99"/>
    <w:rsid w:val="001C5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5752"/>
  </w:style>
  <w:style w:type="paragraph" w:customStyle="1" w:styleId="a9">
    <w:name w:val="a"/>
    <w:basedOn w:val="a"/>
    <w:rsid w:val="0080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79AB"/>
    <w:rPr>
      <w:b/>
      <w:bCs/>
    </w:rPr>
  </w:style>
  <w:style w:type="character" w:customStyle="1" w:styleId="apple-style-span">
    <w:name w:val="apple-style-span"/>
    <w:basedOn w:val="a0"/>
    <w:rsid w:val="00277304"/>
  </w:style>
  <w:style w:type="character" w:customStyle="1" w:styleId="ng-star-inserted">
    <w:name w:val="ng-star-inserted"/>
    <w:basedOn w:val="a0"/>
    <w:rsid w:val="009956FA"/>
  </w:style>
  <w:style w:type="character" w:styleId="ab">
    <w:name w:val="Emphasis"/>
    <w:basedOn w:val="a0"/>
    <w:uiPriority w:val="20"/>
    <w:qFormat/>
    <w:rsid w:val="00761208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152EE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52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A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footer"/>
    <w:basedOn w:val="a"/>
    <w:link w:val="ae"/>
    <w:uiPriority w:val="99"/>
    <w:unhideWhenUsed/>
    <w:rsid w:val="00FF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94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46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nlu.edu.ua/handle/123456789/13763" TargetMode="External"/><Relationship Id="rId13" Type="http://schemas.openxmlformats.org/officeDocument/2006/relationships/hyperlink" Target="https://essuir.sumdu.edu.ua/handle/123456789/75016" TargetMode="External"/><Relationship Id="rId18" Type="http://schemas.openxmlformats.org/officeDocument/2006/relationships/hyperlink" Target="https://sud.ua/ru/news/blog/157373-kodifikatsiya-gospodarskogo-ekonomichnogo-zakonodavstva-z-pozitsiy-ekonomichnogo-analizu-prava-narrativniy-analiz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olos.com.ua/article/267038" TargetMode="External"/><Relationship Id="rId12" Type="http://schemas.openxmlformats.org/officeDocument/2006/relationships/hyperlink" Target="https://essuir.sumdu.edu.ua/handle/123456789/70546" TargetMode="External"/><Relationship Id="rId17" Type="http://schemas.openxmlformats.org/officeDocument/2006/relationships/hyperlink" Target="https://blog.liga.net/user/aillarionov/article/34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ordynata.com.ua/evropejska-meta-ekonomicnogo-kodeksu" TargetMode="External"/><Relationship Id="rId20" Type="http://schemas.openxmlformats.org/officeDocument/2006/relationships/hyperlink" Target="http://www.golos.com.ua/article/3256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2139/ssrn.31048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gp-journal.kiev.ua/archive/2020/4/4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FP_index" TargetMode="External"/><Relationship Id="rId19" Type="http://schemas.openxmlformats.org/officeDocument/2006/relationships/hyperlink" Target="https://lexinform.com.ua/zakonodavstvo/gospodarskyj-kodeks-potrebuye-doopratsyuvannya-ale-ne-skasuvan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pace.nlu.edu.ua/handle/123456789/13210" TargetMode="External"/><Relationship Id="rId14" Type="http://schemas.openxmlformats.org/officeDocument/2006/relationships/hyperlink" Target="https://sud.ua/ru/news/blog/158409-pro-dotsilnist-regulyuvannya-vidnosin-v-ekonomitsi-gospodarskim-kodeksom-ta-nemozhlivist-takogo-regulyuvannya-lishe-kodeksom-tsivilnim-zarubizhniy-dosv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16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RDA003</dc:creator>
  <cp:keywords/>
  <dc:description/>
  <cp:lastModifiedBy>Богданович Богдан</cp:lastModifiedBy>
  <cp:revision>30</cp:revision>
  <dcterms:created xsi:type="dcterms:W3CDTF">2020-12-19T08:49:00Z</dcterms:created>
  <dcterms:modified xsi:type="dcterms:W3CDTF">2021-09-22T18:40:00Z</dcterms:modified>
</cp:coreProperties>
</file>