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8FB90" w14:textId="4E8440BA" w:rsidR="003C575B" w:rsidRPr="005E7BE0" w:rsidRDefault="00543E60" w:rsidP="005F1D5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ПОЛОЖЕННЯ НЕВІДОМОЇ ШИРОКІЙ ЮРИДИЧНІЙ СПІЛЬНОТІ </w:t>
      </w:r>
      <w:r w:rsidR="00034A7E" w:rsidRPr="005E7BE0">
        <w:rPr>
          <w:rFonts w:ascii="Times New Roman" w:hAnsi="Times New Roman" w:cs="Times New Roman"/>
          <w:b/>
          <w:sz w:val="28"/>
          <w:szCs w:val="28"/>
          <w:lang w:val="uk-UA"/>
        </w:rPr>
        <w:t>КОНЦЕПЦІ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034A7E" w:rsidRPr="005E7B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МОДЕРНІЗАЦІЇ ГОСПОДАРСЬКОГО (ЕКОНОМІЧНОГО) ЗАКОНОДАВСТВА УКРАЇНИ</w:t>
      </w:r>
    </w:p>
    <w:p w14:paraId="40679B0E" w14:textId="6AA5C7EF" w:rsidR="001B146E" w:rsidRPr="005E7BE0" w:rsidRDefault="008079AB" w:rsidP="005F1D56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b/>
          <w:sz w:val="28"/>
          <w:szCs w:val="28"/>
          <w:lang w:val="uk-UA"/>
        </w:rPr>
        <w:t>Деревянко</w:t>
      </w:r>
      <w:r w:rsidR="0096265C" w:rsidRPr="005E7BE0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5E7BE0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1B146E" w:rsidRPr="005E7B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6265C" w:rsidRPr="005E7BE0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1B146E" w:rsidRPr="005E7BE0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</w:p>
    <w:p w14:paraId="50EA8A38" w14:textId="77777777" w:rsidR="008079AB" w:rsidRPr="005E7BE0" w:rsidRDefault="008079AB" w:rsidP="005F1D56">
      <w:pPr>
        <w:spacing w:after="0" w:line="288" w:lineRule="auto"/>
        <w:jc w:val="right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bookmarkStart w:id="0" w:name="_Hlk70632036"/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провідний науковий співробітник</w:t>
      </w:r>
      <w:r w:rsidRPr="005E7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міжнародного приватного права</w:t>
      </w:r>
    </w:p>
    <w:p w14:paraId="51B14709" w14:textId="77777777" w:rsidR="008079AB" w:rsidRPr="005E7BE0" w:rsidRDefault="008079AB" w:rsidP="005F1D56">
      <w:pPr>
        <w:spacing w:after="0" w:line="288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порівняльного правознавства</w:t>
      </w:r>
      <w:r w:rsidRPr="005E7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bookmarkStart w:id="1" w:name="_Hlk70631971"/>
      <w:bookmarkEnd w:id="0"/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Науково-дослідного інституту</w:t>
      </w:r>
      <w:r w:rsidRPr="005E7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приватного права</w:t>
      </w:r>
    </w:p>
    <w:p w14:paraId="41B249C9" w14:textId="42159992" w:rsidR="008079AB" w:rsidRPr="005E7BE0" w:rsidRDefault="008079AB" w:rsidP="005F1D56">
      <w:pPr>
        <w:spacing w:after="0" w:line="288" w:lineRule="auto"/>
        <w:jc w:val="right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підприємництва</w:t>
      </w:r>
      <w:r w:rsidRPr="005E7BE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імені академіка Ф.Г. Бурчака НАПрН України</w:t>
      </w:r>
      <w:bookmarkEnd w:id="1"/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6FC581D4" w14:textId="77777777" w:rsidR="008079AB" w:rsidRPr="005E7BE0" w:rsidRDefault="008079AB" w:rsidP="005F1D56">
      <w:pPr>
        <w:shd w:val="clear" w:color="auto" w:fill="FFFFFF"/>
        <w:spacing w:after="0" w:line="288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0632091"/>
      <w:r w:rsidRPr="005E7BE0">
        <w:rPr>
          <w:rFonts w:ascii="Times New Roman" w:hAnsi="Times New Roman" w:cs="Times New Roman"/>
          <w:sz w:val="28"/>
          <w:szCs w:val="28"/>
          <w:lang w:val="uk-UA"/>
        </w:rPr>
        <w:t>доктор юридичних наук, професор</w:t>
      </w:r>
      <w:bookmarkEnd w:id="2"/>
    </w:p>
    <w:p w14:paraId="1CB310A6" w14:textId="2717AD11" w:rsidR="008079AB" w:rsidRPr="005E7BE0" w:rsidRDefault="008079AB" w:rsidP="005F1D56">
      <w:pPr>
        <w:spacing w:after="0" w:line="288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572803" w14:textId="77777777" w:rsidR="00A2365F" w:rsidRPr="005E7BE0" w:rsidRDefault="00A2365F" w:rsidP="005F1D56">
      <w:pPr>
        <w:spacing w:after="0" w:line="288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143268E" w14:textId="2CBDD1F6" w:rsidR="00034A7E" w:rsidRPr="005E7BE0" w:rsidRDefault="006A002C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2020 року зʼявилася Концепція оновлення Цивільного кодексу України, у § 1.1 якої пропонується визнати таким, що втратив чинність, Господарський кодекс України (далі – ГК України). </w:t>
      </w:r>
      <w:r w:rsidR="00543E6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ід час вивчення </w:t>
      </w:r>
      <w:r w:rsidR="00543E60">
        <w:rPr>
          <w:rFonts w:ascii="Times New Roman" w:hAnsi="Times New Roman" w:cs="Times New Roman"/>
          <w:sz w:val="28"/>
          <w:szCs w:val="28"/>
          <w:lang w:val="uk-UA"/>
        </w:rPr>
        <w:t>змісту цієї Концепції напрошу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543E60">
        <w:rPr>
          <w:rFonts w:ascii="Times New Roman" w:hAnsi="Times New Roman" w:cs="Times New Roman"/>
          <w:sz w:val="28"/>
          <w:szCs w:val="28"/>
          <w:lang w:val="uk-UA"/>
        </w:rPr>
        <w:t xml:space="preserve"> висновок про те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, що основн</w:t>
      </w:r>
      <w:r w:rsidR="00AF14C6" w:rsidRPr="005E7BE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 w:rsidR="00AF14C6" w:rsidRPr="005E7BE0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є не оновлення Цивільного кодексу України (далі – ЦК України), а скасування чинності ГК України</w:t>
      </w:r>
      <w:r w:rsidR="00AF14C6" w:rsidRPr="005E7BE0">
        <w:rPr>
          <w:rFonts w:ascii="Times New Roman" w:hAnsi="Times New Roman" w:cs="Times New Roman"/>
          <w:sz w:val="28"/>
          <w:szCs w:val="28"/>
          <w:lang w:val="uk-UA"/>
        </w:rPr>
        <w:t>, а основними завданнями – пошук способів як це зробити якнайшвидше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3395" w:rsidRPr="005E7BE0">
        <w:rPr>
          <w:rFonts w:ascii="Times New Roman" w:hAnsi="Times New Roman" w:cs="Times New Roman"/>
          <w:sz w:val="28"/>
          <w:szCs w:val="28"/>
          <w:lang w:val="uk-UA"/>
        </w:rPr>
        <w:t>Протягом 2020 року було проведено декілька наукових заходів з обговорення Концепції оновлення Цивільного кодексу України. Проте далеко не всі учасники таких обговорень схвально висловлювалися стосовно змісту і суті цієї Концепції.</w:t>
      </w:r>
      <w:r w:rsidR="00C80093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4C6" w:rsidRPr="005E7BE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E6E69" w:rsidRPr="005E7BE0">
        <w:rPr>
          <w:rFonts w:ascii="Times New Roman" w:hAnsi="Times New Roman" w:cs="Times New Roman"/>
          <w:sz w:val="28"/>
          <w:szCs w:val="28"/>
          <w:lang w:val="uk-UA"/>
        </w:rPr>
        <w:t>умки</w:t>
      </w:r>
      <w:r w:rsidR="00AF14C6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таких учасників, рівно як і інших опонентів Концепції оновлення Цивільного кодексу України, зокрема і з таборів різних наукових шкіл цивільного права,</w:t>
      </w:r>
      <w:r w:rsidR="003E6E69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поширюються мінімально, а в суспільстві формується думка про загальну підтримку юридичною спільнотою України цієї Концепції.</w:t>
      </w:r>
    </w:p>
    <w:p w14:paraId="30FC7F34" w14:textId="761C58CA" w:rsidR="003E6E69" w:rsidRDefault="006C756D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само мінімально поширеною є і </w:t>
      </w:r>
      <w:r w:rsidR="003E6E69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Концепція модернізації господарського законодавства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яка</w:t>
      </w:r>
      <w:r w:rsidR="003E6E69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була розроблена ще у 2019 році, проте до 2021 року не була опублікована 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широко оприлюднена</w:t>
      </w:r>
      <w:r w:rsidR="003E6E69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. Сьогодні ця Концепція у скороченому вигляді опублікована на сторінках 18-19 Юридичного вісника України за 2-22 квітня (№ 13-15) [</w:t>
      </w:r>
      <w:r w:rsidR="00A21F28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3E6E69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], а також як додаток на сторінках 106-111 (додаток № 12) до Науково-експертного висновку до Концепції оновлення Цивільного кодексу України [</w:t>
      </w:r>
      <w:r w:rsidR="00A21F2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E6E69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105A8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E6E69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с. 106-111].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Питання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порушені у 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Науково-експертно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висновку до Концепції оновлення Цивільного кодексу України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рівно як і аналізу його положень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мають 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 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описан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в інших роботах. Концепція модернізації господарського законодавства України сьогодні є невідомою для широкого загалу, а багато у чому саме через це є недооціненою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навіть юридичною спільнотою, не кажучи про законотворців, чиновників та 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пересічних громадян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. Для надання належної оцінки її суті і змісту слід розглянути</w:t>
      </w:r>
      <w:r w:rsidR="00AF14C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її положення</w:t>
      </w:r>
      <w:r w:rsidR="009A2712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Принагідно слід зазначити, що основні положення Концепції озвучувалися автором цих тез 17 травня 2021 року на засіданні </w:t>
      </w:r>
      <w:r w:rsidR="00DF5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Круглого столу «Модернізація господарського (економічного) законодавства України» і будуть опубліковані у збірнику наукових праць, виданому за підсумками цього заходу.</w:t>
      </w:r>
    </w:p>
    <w:p w14:paraId="7E65220F" w14:textId="0FB4774F" w:rsidR="00DB4B05" w:rsidRPr="005E7BE0" w:rsidRDefault="00E8680E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Концепція модернізації господарського законодавства України вирізняється чіткістю й оптимальністю, містить невелику кількість розділів, в яких конкретизовані завдання та/або інші складові. </w:t>
      </w:r>
      <w:r w:rsidR="002858A7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Перший розділ «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Проблеми, які потребують розв’язання</w:t>
      </w:r>
      <w:r w:rsidR="002858A7" w:rsidRPr="005E7BE0">
        <w:rPr>
          <w:rFonts w:ascii="Times New Roman" w:hAnsi="Times New Roman" w:cs="Times New Roman"/>
          <w:sz w:val="28"/>
          <w:szCs w:val="28"/>
          <w:lang w:val="uk-UA"/>
        </w:rPr>
        <w:t>» називає основні проблеми, згруповані у 15 абзаців. Після перерахування вказано, що зазначені проблеми у правовій площині поряд із іншими чинниками негативно впливають на стан економіки України, що проявляється, зокрема, у високому рівні її «тінізації», обмеженні підприємницької ініціативи, скороченні промислового виробництва, низькій привабливості України для іноземних інвесторів [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858A7" w:rsidRPr="005E7BE0">
        <w:rPr>
          <w:rFonts w:ascii="Times New Roman" w:hAnsi="Times New Roman" w:cs="Times New Roman"/>
          <w:sz w:val="28"/>
          <w:szCs w:val="28"/>
          <w:lang w:val="uk-UA"/>
        </w:rPr>
        <w:t>, с. 18].</w:t>
      </w:r>
    </w:p>
    <w:p w14:paraId="294D9AA8" w14:textId="1951D417" w:rsidR="00DB4B05" w:rsidRPr="005E7BE0" w:rsidRDefault="00583BD3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У д</w:t>
      </w:r>
      <w:r w:rsidR="002858A7" w:rsidRPr="005E7BE0">
        <w:rPr>
          <w:rFonts w:ascii="Times New Roman" w:hAnsi="Times New Roman" w:cs="Times New Roman"/>
          <w:sz w:val="28"/>
          <w:szCs w:val="28"/>
          <w:lang w:val="uk-UA"/>
        </w:rPr>
        <w:t>руг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2858A7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розділ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858A7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«Обґрунтування доцільності модернізації господарського (економічного) законодавства України» серед іншого вказано на доцільність модернізації та збереження кодифікації як оптимальної форми систематизації господарського (економічного) законодавства через те, що: - на сьогодні понад 300 базових чинних законів оперують термінологією, що розкривається у ГК України («суб’єкт господарювання», «господарська діяльність» та ін.), містять норми, які безпосередньо кореспондують із положеннями ГК України; більш ніж 40 базових законів містять пряме посилання на ГК України; </w:t>
      </w:r>
      <w:r w:rsidR="00B02FD3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- наявний позитивний досвід європейських країн, де прийнято економічні (комерційні, підприємницькі, торгові) кодекси (Австрія, Бельгія, Естонія, Латвія, Іспанія, Мальта, Нідерланди, ФРН, Словаччина, Туреччина, Франція, Чехія та ін.) для окремого регулювання відносин у сфері економіки; - існує потреба адаптації господарського (економічного) законодавства України до права ЄС, удосконалення національного законодавства відповідно до зобов’язань, визначених Угодою про асоціацію з ЄС; - наявна необхідність підвищення позицій України у </w:t>
      </w:r>
      <w:bookmarkStart w:id="3" w:name="_Hlk80083474"/>
      <w:r w:rsidR="00B02FD3" w:rsidRPr="005E7BE0">
        <w:rPr>
          <w:rFonts w:ascii="Times New Roman" w:hAnsi="Times New Roman" w:cs="Times New Roman"/>
          <w:sz w:val="28"/>
          <w:szCs w:val="28"/>
          <w:lang w:val="uk-UA"/>
        </w:rPr>
        <w:t>рейтингу Світового банку «Doing Business»</w:t>
      </w:r>
      <w:bookmarkEnd w:id="3"/>
      <w:r w:rsidR="00B02FD3" w:rsidRPr="005E7BE0">
        <w:rPr>
          <w:rFonts w:ascii="Times New Roman" w:hAnsi="Times New Roman" w:cs="Times New Roman"/>
          <w:sz w:val="28"/>
          <w:szCs w:val="28"/>
          <w:lang w:val="uk-UA"/>
        </w:rPr>
        <w:t>, серед показників якого враховуються стабільність і осучаснення господарського (економічного) законодавства та ін. [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02FD3" w:rsidRPr="005E7BE0">
        <w:rPr>
          <w:rFonts w:ascii="Times New Roman" w:hAnsi="Times New Roman" w:cs="Times New Roman"/>
          <w:sz w:val="28"/>
          <w:szCs w:val="28"/>
          <w:lang w:val="uk-UA"/>
        </w:rPr>
        <w:t>, с. 18].</w:t>
      </w:r>
      <w:r w:rsidR="00787BC9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Від себе слід додати, що крім названих у розділі Концепції європейських держав, слід ще додати Болгарію з її комерційним законом, Ліхтенштейн із його </w:t>
      </w:r>
      <w:r w:rsidR="00787BC9" w:rsidRPr="005E7BE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Загальнонімецьким комерційним кодексом, Люксембург</w:t>
      </w:r>
      <w:r w:rsidR="00BE47DF" w:rsidRPr="005E7BE0">
        <w:rPr>
          <w:rFonts w:ascii="Times New Roman" w:hAnsi="Times New Roman" w:cs="Times New Roman"/>
          <w:sz w:val="28"/>
          <w:szCs w:val="28"/>
          <w:lang w:val="uk-UA"/>
        </w:rPr>
        <w:t>, Монако, Португалію</w:t>
      </w:r>
      <w:r w:rsidR="00787BC9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BE47DF" w:rsidRPr="005E7BE0">
        <w:rPr>
          <w:rFonts w:ascii="Times New Roman" w:hAnsi="Times New Roman" w:cs="Times New Roman"/>
          <w:sz w:val="28"/>
          <w:szCs w:val="28"/>
          <w:lang w:val="uk-UA"/>
        </w:rPr>
        <w:t>їх комерційними кодексами. Також достатньо недавно (</w:t>
      </w:r>
      <w:r w:rsidR="00BE47DF" w:rsidRPr="005E7B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29 жовтня 2015 року</w:t>
      </w:r>
      <w:r w:rsidR="00BE47DF" w:rsidRPr="005E7BE0">
        <w:rPr>
          <w:rFonts w:ascii="Times New Roman" w:hAnsi="Times New Roman" w:cs="Times New Roman"/>
          <w:sz w:val="28"/>
          <w:szCs w:val="28"/>
          <w:lang w:val="uk-UA"/>
        </w:rPr>
        <w:t>) було прийнято Підприємницький кодекс Республіки Казахстан, прийняття якого стало можливим завдяки вивченню позитивів і негативів у регулюванні господарської діяльності в Україні. Хоча це не держава-член ЄС, проте рівень її ВВП на душу населення значно перевищує відповідний показник України.</w:t>
      </w:r>
    </w:p>
    <w:p w14:paraId="595A63D4" w14:textId="4BE9E673" w:rsidR="00DB4B05" w:rsidRPr="005E7BE0" w:rsidRDefault="00B02FD3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У наступному розділі Концепції «Мета та завдання </w:t>
      </w:r>
      <w:bookmarkStart w:id="4" w:name="_Hlk22587324"/>
      <w:r w:rsidRPr="005E7BE0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bookmarkEnd w:id="4"/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господарського (економічного) законодавства» метою визначено оновлення правової парадигми організації та здійснення господарської діяльності в Україні і на цій основі забезпечення конструктивного поєднання, взаємоузгодження публічних та приватних інтересів у регулюванні господарської (економічної) діяльності, суттєве покращення правових умов для розвитку української економіки та підвищення рівня життя населення [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, с. 18]</w:t>
      </w:r>
      <w:r w:rsidR="00B35A3C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, а серед 19 завдань </w:t>
      </w:r>
      <w:r w:rsidR="00051F79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навіть складно визначити найбільш важливі. Це і вирішення проблеми множинності актів господарського (економічного) законодавства; і зосередження в оновленому кодифікованому акті господарського законодавства норм прямої дії; і узгодження модернізованого господарського (економічного) законодавства із основними засадами цивільного законодавства; і імплементація </w:t>
      </w:r>
      <w:bookmarkStart w:id="5" w:name="_Hlk80083518"/>
      <w:r w:rsidR="00051F79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прогресивного зарубіжного досвіду </w:t>
      </w:r>
      <w:bookmarkEnd w:id="5"/>
      <w:r w:rsidR="00051F79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законодавчого регулювання економічних відносин; і удосконалення нормативного масиву щодо правового статусу суб’єктів господарювання; і уточнення </w:t>
      </w:r>
      <w:bookmarkStart w:id="6" w:name="_Hlk80083573"/>
      <w:r w:rsidR="00051F79" w:rsidRPr="005E7BE0">
        <w:rPr>
          <w:rFonts w:ascii="Times New Roman" w:hAnsi="Times New Roman" w:cs="Times New Roman"/>
          <w:sz w:val="28"/>
          <w:szCs w:val="28"/>
          <w:lang w:val="uk-UA"/>
        </w:rPr>
        <w:t>правового режиму майна</w:t>
      </w:r>
      <w:bookmarkEnd w:id="6"/>
      <w:r w:rsidR="00051F79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, що залучається у господарський (економічний) оборот і використовується для здійснення господарської (економічної) діяльності; і визначення загальних засад комерціалізації прав інтелектуальної власності у сфері господарювання; і унормування умов та правил електронного господарювання; і усунення недоліків законодавства щодо здійснення діяльності у базових галузях і сферах економіки (будівництво, транспорт, фінансова діяльність і ін.); і закріплення положень, спрямованих на активізацію інноваційної, інвестиційної та зовнішньоекономічної діяльності; і оновлення положень законодавства з питань ведення господарської (економічної) діяльності в умовах спеціального правового режиму (під час запровадження надзвичайного чи воєнного стану, тощо) </w:t>
      </w:r>
      <w:r w:rsidR="00DB4B05" w:rsidRPr="005E7BE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4B05" w:rsidRPr="005E7BE0">
        <w:rPr>
          <w:rFonts w:ascii="Times New Roman" w:hAnsi="Times New Roman" w:cs="Times New Roman"/>
          <w:sz w:val="28"/>
          <w:szCs w:val="28"/>
          <w:lang w:val="uk-UA"/>
        </w:rPr>
        <w:t>, с. 19]</w:t>
      </w:r>
      <w:r w:rsidR="00051F79" w:rsidRPr="005E7B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47DF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У розширеному варіанті Концепції та у матеріалах вчених-господарників визначено конкретні способи вирішення кожного із наведених у Концепції завдань.</w:t>
      </w:r>
    </w:p>
    <w:p w14:paraId="41A86D8B" w14:textId="70ECDCE6" w:rsidR="00E8680E" w:rsidRPr="005E7BE0" w:rsidRDefault="00DB4B05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Розділ «</w:t>
      </w:r>
      <w:r w:rsidR="00E8680E" w:rsidRPr="005E7BE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Теоретична та емпірична основа і концептуальні орієнтири модернізації </w:t>
      </w:r>
      <w:r w:rsidR="00E8680E" w:rsidRPr="005E7BE0">
        <w:rPr>
          <w:rFonts w:ascii="Times New Roman" w:hAnsi="Times New Roman" w:cs="Times New Roman"/>
          <w:sz w:val="28"/>
          <w:szCs w:val="28"/>
          <w:lang w:val="uk-UA"/>
        </w:rPr>
        <w:t>господарського (економічного) законодавства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» поділено на </w:t>
      </w:r>
      <w:r w:rsidR="00583BD3" w:rsidRPr="005E7BE0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складові</w:t>
      </w:r>
      <w:r w:rsidR="00583BD3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E47DF" w:rsidRPr="005E7BE0">
        <w:rPr>
          <w:rFonts w:ascii="Times New Roman" w:hAnsi="Times New Roman" w:cs="Times New Roman"/>
          <w:sz w:val="28"/>
          <w:szCs w:val="28"/>
          <w:lang w:val="uk-UA"/>
        </w:rPr>
        <w:t>І) </w:t>
      </w:r>
      <w:r w:rsidR="00583BD3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засади; </w:t>
      </w:r>
      <w:r w:rsidR="00BE47DF" w:rsidRPr="005E7BE0">
        <w:rPr>
          <w:rFonts w:ascii="Times New Roman" w:hAnsi="Times New Roman" w:cs="Times New Roman"/>
          <w:sz w:val="28"/>
          <w:szCs w:val="28"/>
          <w:lang w:val="uk-UA"/>
        </w:rPr>
        <w:t>ІІ) </w:t>
      </w:r>
      <w:r w:rsidR="00583BD3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емпірична основа; </w:t>
      </w:r>
      <w:r w:rsidR="00BE47DF" w:rsidRPr="005E7BE0">
        <w:rPr>
          <w:rFonts w:ascii="Times New Roman" w:hAnsi="Times New Roman" w:cs="Times New Roman"/>
          <w:sz w:val="28"/>
          <w:szCs w:val="28"/>
          <w:lang w:val="uk-UA"/>
        </w:rPr>
        <w:t>ІІІ) </w:t>
      </w:r>
      <w:r w:rsidR="00583BD3" w:rsidRPr="005E7BE0">
        <w:rPr>
          <w:rFonts w:ascii="Times New Roman" w:hAnsi="Times New Roman" w:cs="Times New Roman"/>
          <w:sz w:val="28"/>
          <w:szCs w:val="28"/>
          <w:lang w:val="uk-UA"/>
        </w:rPr>
        <w:t>концептуальні орієнтири модернізації господарського законодавства. Кожну складову сформульовано у максимально узагальненому, вивіреному та виваженому вигляді змісті декількох пунктів. При цьому рівень оптимальності формулювання цих пунктів є настільки високим, що спроба стислого наведення цих пунктів призведе лише до повного їх копіювання, адже скоротити обсяг жодного пункту без втрати якоїсь ознаки або й сенсу взагалі неможливо.</w:t>
      </w:r>
    </w:p>
    <w:p w14:paraId="215C3F78" w14:textId="40803F19" w:rsidR="00EB06B6" w:rsidRPr="005E7BE0" w:rsidRDefault="0092662F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В о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>станн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ьому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розділ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Концепції </w:t>
      </w:r>
      <w:r w:rsidR="00EB06B6"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модернізації господарського законодавства України «</w:t>
      </w:r>
      <w:r w:rsidR="00E8680E" w:rsidRPr="005E7BE0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модернізації господарського (економічного) законодавства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>» зазначено, що проведення модернізації сприятиме покращенню умов ведення господарської (економічної) діяльності в Україні, загального соціально-економічного стану країни, підвищенню її позицій у рейтингу «Doing Business», зокрема, дозволить забезпечити:</w:t>
      </w:r>
    </w:p>
    <w:p w14:paraId="7EC63DE8" w14:textId="122995FA" w:rsidR="00EB06B6" w:rsidRPr="005E7BE0" w:rsidRDefault="00EB06B6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- досягнення правової визначеності основних засад господарської (економічної) діяльності з урахуванням сучасних економічних реалій в умовах наближення законодавства України до права ЄС;</w:t>
      </w:r>
    </w:p>
    <w:p w14:paraId="2949DE9B" w14:textId="77777777" w:rsidR="00EB06B6" w:rsidRPr="005E7BE0" w:rsidRDefault="00EB06B6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- упорядкованість організації і здійснення господарської (економічної) діяльності на більш високому рівні;</w:t>
      </w:r>
    </w:p>
    <w:p w14:paraId="6A5D21E4" w14:textId="77777777" w:rsidR="00EB06B6" w:rsidRPr="005E7BE0" w:rsidRDefault="00EB06B6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- взаємоузгодженість нормативно-правових актів, що регулюють відносини у сфері економіки, відповідність законодавства сучасним потребам суб’єктів господарювання;</w:t>
      </w:r>
    </w:p>
    <w:p w14:paraId="51BBF100" w14:textId="77777777" w:rsidR="00EB06B6" w:rsidRPr="005E7BE0" w:rsidRDefault="00EB06B6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- підвищення рівня ділової активності </w:t>
      </w:r>
      <w:bookmarkStart w:id="7" w:name="_Hlk80083598"/>
      <w:r w:rsidRPr="005E7BE0">
        <w:rPr>
          <w:rFonts w:ascii="Times New Roman" w:hAnsi="Times New Roman" w:cs="Times New Roman"/>
          <w:sz w:val="28"/>
          <w:szCs w:val="28"/>
          <w:lang w:val="uk-UA"/>
        </w:rPr>
        <w:t>суб’єктів господарської (економічної) діяльності</w:t>
      </w:r>
      <w:bookmarkEnd w:id="7"/>
      <w:r w:rsidRPr="005E7BE0">
        <w:rPr>
          <w:rFonts w:ascii="Times New Roman" w:hAnsi="Times New Roman" w:cs="Times New Roman"/>
          <w:sz w:val="28"/>
          <w:szCs w:val="28"/>
          <w:lang w:val="uk-UA"/>
        </w:rPr>
        <w:t>, дотримання ними правил провадження цієї діяльності, розширення кола таких суб’єктів;</w:t>
      </w:r>
    </w:p>
    <w:p w14:paraId="39AEE879" w14:textId="77777777" w:rsidR="0092662F" w:rsidRPr="005E7BE0" w:rsidRDefault="00EB06B6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- оптимальне поєднання державного регулювання і ринкової саморегуляції економіки, збалансування публічних і приватних інтересів в економічній сфері; системне усунення корупційних ризиків в економічних відносинах;</w:t>
      </w:r>
    </w:p>
    <w:p w14:paraId="2827CA70" w14:textId="77777777" w:rsidR="0092662F" w:rsidRPr="005E7BE0" w:rsidRDefault="0092662F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>розвиток добросовісної конкуренції, створення сприятливого інвестиційного клімату та утримання макроекономічної стабільності;</w:t>
      </w:r>
    </w:p>
    <w:p w14:paraId="4FD0C856" w14:textId="77777777" w:rsidR="0092662F" w:rsidRPr="005E7BE0" w:rsidRDefault="0092662F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>створення нових робочих місць, підвищення доходів і зниження рівня бідності населення, зменшення соціальної нерівності в суспільстві;</w:t>
      </w:r>
    </w:p>
    <w:p w14:paraId="28FC63A1" w14:textId="77777777" w:rsidR="0092662F" w:rsidRPr="005E7BE0" w:rsidRDefault="0092662F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>розвиток високотехнологічних виробництв, покращення якості товарів і послуг, підвищення експортного потенціалу українських виробників;</w:t>
      </w:r>
    </w:p>
    <w:p w14:paraId="20C80547" w14:textId="673A95D4" w:rsidR="0036293F" w:rsidRPr="005E7BE0" w:rsidRDefault="0092662F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sz w:val="28"/>
          <w:szCs w:val="28"/>
          <w:lang w:val="uk-UA"/>
        </w:rPr>
        <w:lastRenderedPageBreak/>
        <w:t>- 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>посилення дієвості захисту прав та інтересів суб’єктів господарювання; єдність відповідної правозастосовної (в тому числі судової) практики; зменшення кількості економічних правопорушень, господарських спорів, які підлягають судовому розгляду; виведення принципів господарювання на рівень дієвих інструментів вирішення господарських спорів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21F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E7BE0">
        <w:rPr>
          <w:rFonts w:ascii="Times New Roman" w:hAnsi="Times New Roman" w:cs="Times New Roman"/>
          <w:sz w:val="28"/>
          <w:szCs w:val="28"/>
          <w:lang w:val="uk-UA"/>
        </w:rPr>
        <w:t>, с. 19]</w:t>
      </w:r>
      <w:r w:rsidR="00EB06B6" w:rsidRPr="005E7B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37ACCD" w14:textId="4C7E6506" w:rsidR="005E7BE0" w:rsidRPr="005E7BE0" w:rsidRDefault="0036293F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E7BE0">
        <w:rPr>
          <w:rFonts w:ascii="Times New Roman" w:hAnsi="Times New Roman" w:cs="Times New Roman"/>
          <w:iCs/>
          <w:sz w:val="28"/>
          <w:szCs w:val="28"/>
          <w:lang w:val="uk-UA"/>
        </w:rPr>
        <w:t>Схарактеризовану вище Концепцію було розроблено у 2019 році провідними вченими-господарниками, які є представниками різних наукових шкіл господарського права. У тому ж році її було максимально скорочено в обсязі, але не за суттю. Сьогодні Концепція існує у розгорнутому (тобто з окремими поясненнями та уточненнями) і скороченому виглядах. На жаль, допоки вона залишається невідомою широкому загалу. Цю ваду планується усунути через її максимальне поширення в юридичних наукових колах.</w:t>
      </w:r>
      <w:r w:rsidR="005E7BE0" w:rsidRPr="005E7BE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Її положення усе активніше обговорюються на рівні закладів вищої освіти, наукових установ, громадських організацій, органів судової влади.</w:t>
      </w:r>
    </w:p>
    <w:p w14:paraId="0CE00FE2" w14:textId="6565D457" w:rsidR="00EB06B6" w:rsidRPr="005E7BE0" w:rsidRDefault="0036293F" w:rsidP="005F1D56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80086301"/>
      <w:r w:rsidRPr="005E7BE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Неознайомленість юристів із змістом Концепції спричинила відсутність її оцінки у науковій та спеціальній юридичній літературі. Цю ваду можна швидко усунути після усунення першої. Прогресивність Концепції випливає з її виваженої структури та </w:t>
      </w:r>
      <w:r w:rsidR="00E93DA2" w:rsidRPr="005E7BE0">
        <w:rPr>
          <w:rFonts w:ascii="Times New Roman" w:hAnsi="Times New Roman" w:cs="Times New Roman"/>
          <w:iCs/>
          <w:sz w:val="28"/>
          <w:szCs w:val="28"/>
          <w:lang w:val="uk-UA"/>
        </w:rPr>
        <w:t>можлив</w:t>
      </w:r>
      <w:r w:rsidR="00650572">
        <w:rPr>
          <w:rFonts w:ascii="Times New Roman" w:hAnsi="Times New Roman" w:cs="Times New Roman"/>
          <w:iCs/>
          <w:sz w:val="28"/>
          <w:szCs w:val="28"/>
          <w:lang w:val="uk-UA"/>
        </w:rPr>
        <w:t>о</w:t>
      </w:r>
      <w:r w:rsidR="00E93DA2" w:rsidRPr="005E7BE0">
        <w:rPr>
          <w:rFonts w:ascii="Times New Roman" w:hAnsi="Times New Roman" w:cs="Times New Roman"/>
          <w:iCs/>
          <w:sz w:val="28"/>
          <w:szCs w:val="28"/>
          <w:lang w:val="uk-UA"/>
        </w:rPr>
        <w:t>ст</w:t>
      </w:r>
      <w:r w:rsidR="00650572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="00E93DA2" w:rsidRPr="005E7BE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виведення економіки держави на новий рівень завдяки поступовій реалізації її положень. Перспективність Концепції зумовлюється</w:t>
      </w:r>
      <w:r w:rsidR="00A764D4" w:rsidRPr="005E7BE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саме</w:t>
      </w:r>
      <w:r w:rsidR="00E93DA2" w:rsidRPr="005E7BE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764D4" w:rsidRPr="005E7BE0">
        <w:rPr>
          <w:rFonts w:ascii="Times New Roman" w:hAnsi="Times New Roman" w:cs="Times New Roman"/>
          <w:iCs/>
          <w:sz w:val="28"/>
          <w:szCs w:val="28"/>
          <w:lang w:val="uk-UA"/>
        </w:rPr>
        <w:t>можливістю реалізації її положень, адже постійне обʼєктивне зростання кількості видів господарської діяльності потребує свого господарсько-правового забезпечення, яке так чи інакше буде сформовано у найближчій чи більш віддаленій перспективі.</w:t>
      </w:r>
    </w:p>
    <w:bookmarkEnd w:id="8"/>
    <w:p w14:paraId="5066A46A" w14:textId="77777777" w:rsidR="00626E0F" w:rsidRPr="005E7BE0" w:rsidRDefault="00626E0F" w:rsidP="005F1D56">
      <w:pPr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B7379A8" w14:textId="16926C9E" w:rsidR="000329CF" w:rsidRPr="005E7BE0" w:rsidRDefault="000329CF" w:rsidP="005F1D56">
      <w:pPr>
        <w:spacing w:after="0" w:line="288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E7BE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ru-RU"/>
        </w:rPr>
        <w:t>Література</w:t>
      </w:r>
      <w:r w:rsidR="0096265C" w:rsidRPr="005E7BE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ru-RU"/>
        </w:rPr>
        <w:t>:</w:t>
      </w:r>
    </w:p>
    <w:p w14:paraId="684C9115" w14:textId="488A3B8A" w:rsidR="00B105A8" w:rsidRPr="005E7BE0" w:rsidRDefault="00B105A8" w:rsidP="005F1D56">
      <w:pPr>
        <w:pStyle w:val="a3"/>
        <w:numPr>
          <w:ilvl w:val="0"/>
          <w:numId w:val="2"/>
        </w:numPr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Концепція модернізації господарського законодавства України. </w:t>
      </w:r>
      <w:r w:rsidRPr="005E7BE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Юридичний вісник України.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2021. 2-22 квітня (№ 13-15). С. 18</w:t>
      </w:r>
      <w:r w:rsidR="00323075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19.</w:t>
      </w:r>
    </w:p>
    <w:p w14:paraId="4A97B31E" w14:textId="14231D43" w:rsidR="00B105A8" w:rsidRPr="005E7BE0" w:rsidRDefault="00AF14C6" w:rsidP="005F1D56">
      <w:pPr>
        <w:pStyle w:val="a3"/>
        <w:numPr>
          <w:ilvl w:val="0"/>
          <w:numId w:val="2"/>
        </w:numPr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7BE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Науково-експертний висновок до Концепції оновлення Цивільного кодексу України: брошура / під заг. ред. члена-кореспондента НАН України В.А. Устименка. Київ: НАН України, ДУ «Інститут економіко-правових досліджень імені В.К. Мамутова НАН України», 2021. 112 с.</w:t>
      </w:r>
    </w:p>
    <w:sectPr w:rsidR="00B105A8" w:rsidRPr="005E7BE0" w:rsidSect="005F1D56">
      <w:headerReference w:type="default" r:id="rId7"/>
      <w:pgSz w:w="11906" w:h="16838" w:code="9"/>
      <w:pgMar w:top="2098" w:right="1134" w:bottom="1134" w:left="1134" w:header="142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85BB3" w14:textId="77777777" w:rsidR="00186228" w:rsidRDefault="00186228" w:rsidP="005F1D56">
      <w:pPr>
        <w:spacing w:after="0" w:line="240" w:lineRule="auto"/>
      </w:pPr>
      <w:r>
        <w:separator/>
      </w:r>
    </w:p>
  </w:endnote>
  <w:endnote w:type="continuationSeparator" w:id="0">
    <w:p w14:paraId="067CF5DD" w14:textId="77777777" w:rsidR="00186228" w:rsidRDefault="00186228" w:rsidP="005F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B1088" w14:textId="77777777" w:rsidR="00186228" w:rsidRDefault="00186228" w:rsidP="005F1D56">
      <w:pPr>
        <w:spacing w:after="0" w:line="240" w:lineRule="auto"/>
      </w:pPr>
      <w:r>
        <w:separator/>
      </w:r>
    </w:p>
  </w:footnote>
  <w:footnote w:type="continuationSeparator" w:id="0">
    <w:p w14:paraId="6E13B8D2" w14:textId="77777777" w:rsidR="00186228" w:rsidRDefault="00186228" w:rsidP="005F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1357982"/>
      <w:docPartObj>
        <w:docPartGallery w:val="Page Numbers (Top of Page)"/>
        <w:docPartUnique/>
      </w:docPartObj>
    </w:sdtPr>
    <w:sdtContent>
      <w:p w14:paraId="2994E62A" w14:textId="7257047F" w:rsidR="005F1D56" w:rsidRDefault="005F1D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B7B67D" w14:textId="76B2BC93" w:rsidR="005F1D56" w:rsidRPr="005F1D56" w:rsidRDefault="005F1D56" w:rsidP="005F1D56">
    <w:pPr>
      <w:pStyle w:val="a6"/>
      <w:jc w:val="both"/>
      <w:rPr>
        <w:i/>
        <w:iCs/>
        <w:lang w:val="uk-UA"/>
      </w:rPr>
    </w:pPr>
    <w:r w:rsidRPr="005F1D56">
      <w:rPr>
        <w:bCs/>
        <w:szCs w:val="28"/>
        <w:lang w:val="uk-UA"/>
      </w:rPr>
      <w:t xml:space="preserve">Деревянко Б.В. Основні положення невідомої широкій юридичній спільноті </w:t>
    </w:r>
    <w:r w:rsidR="00424A92">
      <w:rPr>
        <w:bCs/>
        <w:szCs w:val="28"/>
        <w:lang w:val="uk-UA"/>
      </w:rPr>
      <w:t>К</w:t>
    </w:r>
    <w:r w:rsidRPr="005F1D56">
      <w:rPr>
        <w:bCs/>
        <w:szCs w:val="28"/>
        <w:lang w:val="uk-UA"/>
      </w:rPr>
      <w:t xml:space="preserve">онцепції модернізації господарського (економічного) законодавства України. </w:t>
    </w:r>
    <w:r w:rsidRPr="005F1D56">
      <w:rPr>
        <w:i/>
        <w:iCs/>
        <w:lang w:val="uk-UA"/>
      </w:rPr>
      <w:t>Традиції та інновації розвитку приватного права в Україні: освітній вимір: матеріали Х Всеукраїнської науково-практичної конференції (м. Полтава, 8 червня 2021 р.).</w:t>
    </w:r>
    <w:r w:rsidRPr="005F1D56">
      <w:rPr>
        <w:lang w:val="uk-UA"/>
      </w:rPr>
      <w:t xml:space="preserve"> Полтава: ПУЕТ, 2021.</w:t>
    </w:r>
    <w:r w:rsidRPr="005F1D56">
      <w:rPr>
        <w:bCs/>
        <w:lang w:val="uk-UA"/>
      </w:rPr>
      <w:t xml:space="preserve"> С. 19–23.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2728718"/>
    <w:multiLevelType w:val="hybridMultilevel"/>
    <w:tmpl w:val="CA8E38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A45F11"/>
    <w:multiLevelType w:val="hybridMultilevel"/>
    <w:tmpl w:val="DCFC4C6A"/>
    <w:lvl w:ilvl="0" w:tplc="2218657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C7240D2"/>
    <w:multiLevelType w:val="hybridMultilevel"/>
    <w:tmpl w:val="A5DEB4B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E5DFE"/>
    <w:multiLevelType w:val="hybridMultilevel"/>
    <w:tmpl w:val="D546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B0B81"/>
    <w:multiLevelType w:val="hybridMultilevel"/>
    <w:tmpl w:val="2DB4DF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C564F"/>
    <w:multiLevelType w:val="hybridMultilevel"/>
    <w:tmpl w:val="64B28CF0"/>
    <w:lvl w:ilvl="0" w:tplc="539619C0">
      <w:numFmt w:val="bullet"/>
      <w:lvlText w:val="-"/>
      <w:lvlJc w:val="left"/>
      <w:pPr>
        <w:tabs>
          <w:tab w:val="num" w:pos="1092"/>
        </w:tabs>
        <w:ind w:left="1092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9624E"/>
    <w:multiLevelType w:val="hybridMultilevel"/>
    <w:tmpl w:val="AB5EDFE8"/>
    <w:lvl w:ilvl="0" w:tplc="150275C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59"/>
    <w:rsid w:val="000015AB"/>
    <w:rsid w:val="00010BF2"/>
    <w:rsid w:val="0001483A"/>
    <w:rsid w:val="00030C30"/>
    <w:rsid w:val="000329CF"/>
    <w:rsid w:val="00034A7E"/>
    <w:rsid w:val="00046230"/>
    <w:rsid w:val="00051F79"/>
    <w:rsid w:val="00075DDA"/>
    <w:rsid w:val="0008355A"/>
    <w:rsid w:val="00092F3B"/>
    <w:rsid w:val="000A343B"/>
    <w:rsid w:val="000B3EA2"/>
    <w:rsid w:val="000C2523"/>
    <w:rsid w:val="000D6BD3"/>
    <w:rsid w:val="001102CC"/>
    <w:rsid w:val="0013579A"/>
    <w:rsid w:val="00152EEC"/>
    <w:rsid w:val="001530BF"/>
    <w:rsid w:val="00163C61"/>
    <w:rsid w:val="001768A1"/>
    <w:rsid w:val="00183395"/>
    <w:rsid w:val="00186228"/>
    <w:rsid w:val="001926EA"/>
    <w:rsid w:val="00197C53"/>
    <w:rsid w:val="001B146E"/>
    <w:rsid w:val="001C5752"/>
    <w:rsid w:val="001D6694"/>
    <w:rsid w:val="001E2866"/>
    <w:rsid w:val="00201C22"/>
    <w:rsid w:val="002149B4"/>
    <w:rsid w:val="00217DD1"/>
    <w:rsid w:val="0022200C"/>
    <w:rsid w:val="00251181"/>
    <w:rsid w:val="00251ED9"/>
    <w:rsid w:val="00252217"/>
    <w:rsid w:val="00262345"/>
    <w:rsid w:val="00272ACE"/>
    <w:rsid w:val="00277304"/>
    <w:rsid w:val="002858A7"/>
    <w:rsid w:val="0029036A"/>
    <w:rsid w:val="0029208C"/>
    <w:rsid w:val="002A105C"/>
    <w:rsid w:val="002C5B59"/>
    <w:rsid w:val="002D0950"/>
    <w:rsid w:val="002D3477"/>
    <w:rsid w:val="002D4141"/>
    <w:rsid w:val="003074FD"/>
    <w:rsid w:val="00314FAA"/>
    <w:rsid w:val="0031777C"/>
    <w:rsid w:val="00323075"/>
    <w:rsid w:val="00347695"/>
    <w:rsid w:val="00354342"/>
    <w:rsid w:val="0036293F"/>
    <w:rsid w:val="003862CF"/>
    <w:rsid w:val="00392F38"/>
    <w:rsid w:val="003C072B"/>
    <w:rsid w:val="003C575B"/>
    <w:rsid w:val="003E6E69"/>
    <w:rsid w:val="003F03B2"/>
    <w:rsid w:val="00403B25"/>
    <w:rsid w:val="004048A0"/>
    <w:rsid w:val="004139D4"/>
    <w:rsid w:val="00424A92"/>
    <w:rsid w:val="00426881"/>
    <w:rsid w:val="004336F3"/>
    <w:rsid w:val="00455ED8"/>
    <w:rsid w:val="0047306A"/>
    <w:rsid w:val="004734F0"/>
    <w:rsid w:val="00477002"/>
    <w:rsid w:val="004A1A7D"/>
    <w:rsid w:val="004A5381"/>
    <w:rsid w:val="004A7895"/>
    <w:rsid w:val="004B1012"/>
    <w:rsid w:val="004F4FDC"/>
    <w:rsid w:val="005101D4"/>
    <w:rsid w:val="00536BB4"/>
    <w:rsid w:val="00540FA8"/>
    <w:rsid w:val="00541FAA"/>
    <w:rsid w:val="00543E60"/>
    <w:rsid w:val="00544846"/>
    <w:rsid w:val="00583BD3"/>
    <w:rsid w:val="005C2AD8"/>
    <w:rsid w:val="005D3E53"/>
    <w:rsid w:val="005D4391"/>
    <w:rsid w:val="005D62A9"/>
    <w:rsid w:val="005E7BE0"/>
    <w:rsid w:val="005F1D56"/>
    <w:rsid w:val="006215B3"/>
    <w:rsid w:val="00626E0F"/>
    <w:rsid w:val="006375FB"/>
    <w:rsid w:val="00646775"/>
    <w:rsid w:val="00650572"/>
    <w:rsid w:val="006679CB"/>
    <w:rsid w:val="00687EBB"/>
    <w:rsid w:val="00695CF0"/>
    <w:rsid w:val="006A002C"/>
    <w:rsid w:val="006B17EC"/>
    <w:rsid w:val="006B5335"/>
    <w:rsid w:val="006B73D7"/>
    <w:rsid w:val="006C756D"/>
    <w:rsid w:val="006C7770"/>
    <w:rsid w:val="006E5A6D"/>
    <w:rsid w:val="00723C98"/>
    <w:rsid w:val="00731A67"/>
    <w:rsid w:val="00735FD4"/>
    <w:rsid w:val="00747C5C"/>
    <w:rsid w:val="00757BA1"/>
    <w:rsid w:val="00761208"/>
    <w:rsid w:val="00765B29"/>
    <w:rsid w:val="00770115"/>
    <w:rsid w:val="007705A6"/>
    <w:rsid w:val="00772DDF"/>
    <w:rsid w:val="0078065D"/>
    <w:rsid w:val="00786C0D"/>
    <w:rsid w:val="00787ADF"/>
    <w:rsid w:val="00787BC9"/>
    <w:rsid w:val="00794C50"/>
    <w:rsid w:val="007A1C28"/>
    <w:rsid w:val="007B07C9"/>
    <w:rsid w:val="007F61CF"/>
    <w:rsid w:val="00806B89"/>
    <w:rsid w:val="008079AB"/>
    <w:rsid w:val="00830235"/>
    <w:rsid w:val="00883FFC"/>
    <w:rsid w:val="008C190F"/>
    <w:rsid w:val="008C4E51"/>
    <w:rsid w:val="008C5F70"/>
    <w:rsid w:val="008C7622"/>
    <w:rsid w:val="008D7BFB"/>
    <w:rsid w:val="008F4671"/>
    <w:rsid w:val="008F5DAD"/>
    <w:rsid w:val="00913EC1"/>
    <w:rsid w:val="0092662F"/>
    <w:rsid w:val="009402AB"/>
    <w:rsid w:val="009506FC"/>
    <w:rsid w:val="0096265C"/>
    <w:rsid w:val="00963F93"/>
    <w:rsid w:val="00965DCE"/>
    <w:rsid w:val="00967859"/>
    <w:rsid w:val="009758EB"/>
    <w:rsid w:val="009956FA"/>
    <w:rsid w:val="009A2712"/>
    <w:rsid w:val="009A372A"/>
    <w:rsid w:val="009A383E"/>
    <w:rsid w:val="009A3926"/>
    <w:rsid w:val="009A52A4"/>
    <w:rsid w:val="009C6B10"/>
    <w:rsid w:val="009D0B47"/>
    <w:rsid w:val="00A21EBE"/>
    <w:rsid w:val="00A21F28"/>
    <w:rsid w:val="00A2365F"/>
    <w:rsid w:val="00A42831"/>
    <w:rsid w:val="00A479D6"/>
    <w:rsid w:val="00A73B54"/>
    <w:rsid w:val="00A764D4"/>
    <w:rsid w:val="00A811F0"/>
    <w:rsid w:val="00A90F38"/>
    <w:rsid w:val="00A921E6"/>
    <w:rsid w:val="00AB370C"/>
    <w:rsid w:val="00AC4422"/>
    <w:rsid w:val="00AD16D8"/>
    <w:rsid w:val="00AF14C6"/>
    <w:rsid w:val="00B02FD3"/>
    <w:rsid w:val="00B105A8"/>
    <w:rsid w:val="00B15ED9"/>
    <w:rsid w:val="00B17AC4"/>
    <w:rsid w:val="00B26592"/>
    <w:rsid w:val="00B326DA"/>
    <w:rsid w:val="00B35A3C"/>
    <w:rsid w:val="00B40088"/>
    <w:rsid w:val="00B4033A"/>
    <w:rsid w:val="00B46557"/>
    <w:rsid w:val="00B579AB"/>
    <w:rsid w:val="00B77CFE"/>
    <w:rsid w:val="00BD1274"/>
    <w:rsid w:val="00BE47DF"/>
    <w:rsid w:val="00BF3161"/>
    <w:rsid w:val="00C042BC"/>
    <w:rsid w:val="00C04D65"/>
    <w:rsid w:val="00C234E8"/>
    <w:rsid w:val="00C303EF"/>
    <w:rsid w:val="00C51AD3"/>
    <w:rsid w:val="00C73AEA"/>
    <w:rsid w:val="00C80093"/>
    <w:rsid w:val="00C97E1F"/>
    <w:rsid w:val="00CC1852"/>
    <w:rsid w:val="00D1776B"/>
    <w:rsid w:val="00D20EBC"/>
    <w:rsid w:val="00D23022"/>
    <w:rsid w:val="00D344AA"/>
    <w:rsid w:val="00D601E0"/>
    <w:rsid w:val="00D71D7B"/>
    <w:rsid w:val="00D938F8"/>
    <w:rsid w:val="00D94844"/>
    <w:rsid w:val="00D96DEB"/>
    <w:rsid w:val="00DA1F65"/>
    <w:rsid w:val="00DB39FE"/>
    <w:rsid w:val="00DB4B05"/>
    <w:rsid w:val="00DB76F1"/>
    <w:rsid w:val="00DC5223"/>
    <w:rsid w:val="00DF5111"/>
    <w:rsid w:val="00E26B89"/>
    <w:rsid w:val="00E35129"/>
    <w:rsid w:val="00E42859"/>
    <w:rsid w:val="00E43DDF"/>
    <w:rsid w:val="00E63823"/>
    <w:rsid w:val="00E74BAE"/>
    <w:rsid w:val="00E8680E"/>
    <w:rsid w:val="00E93DA2"/>
    <w:rsid w:val="00EA7337"/>
    <w:rsid w:val="00EB06B6"/>
    <w:rsid w:val="00EC0BD1"/>
    <w:rsid w:val="00EC12D9"/>
    <w:rsid w:val="00ED77CD"/>
    <w:rsid w:val="00EF1231"/>
    <w:rsid w:val="00F035DC"/>
    <w:rsid w:val="00F109E4"/>
    <w:rsid w:val="00F14001"/>
    <w:rsid w:val="00F26D83"/>
    <w:rsid w:val="00F62A36"/>
    <w:rsid w:val="00F9159A"/>
    <w:rsid w:val="00F93A75"/>
    <w:rsid w:val="00FA244E"/>
    <w:rsid w:val="00FB1C46"/>
    <w:rsid w:val="00FC517F"/>
    <w:rsid w:val="00FC6384"/>
    <w:rsid w:val="00FC6A79"/>
    <w:rsid w:val="00FD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CDC35"/>
  <w15:docId w15:val="{7C5EFA11-0DE6-48B6-82FB-AA4FC4A6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E5A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basedOn w:val="a"/>
    <w:next w:val="a"/>
    <w:uiPriority w:val="99"/>
    <w:rsid w:val="00413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04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29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73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252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C5752"/>
  </w:style>
  <w:style w:type="paragraph" w:styleId="a6">
    <w:name w:val="header"/>
    <w:basedOn w:val="a"/>
    <w:link w:val="a7"/>
    <w:uiPriority w:val="99"/>
    <w:rsid w:val="001C5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C5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C5752"/>
  </w:style>
  <w:style w:type="paragraph" w:customStyle="1" w:styleId="a9">
    <w:name w:val="a"/>
    <w:basedOn w:val="a"/>
    <w:rsid w:val="0080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079AB"/>
    <w:rPr>
      <w:b/>
      <w:bCs/>
    </w:rPr>
  </w:style>
  <w:style w:type="character" w:customStyle="1" w:styleId="apple-style-span">
    <w:name w:val="apple-style-span"/>
    <w:basedOn w:val="a0"/>
    <w:rsid w:val="00277304"/>
  </w:style>
  <w:style w:type="character" w:customStyle="1" w:styleId="ng-star-inserted">
    <w:name w:val="ng-star-inserted"/>
    <w:basedOn w:val="a0"/>
    <w:rsid w:val="009956FA"/>
  </w:style>
  <w:style w:type="character" w:styleId="ab">
    <w:name w:val="Emphasis"/>
    <w:basedOn w:val="a0"/>
    <w:uiPriority w:val="20"/>
    <w:qFormat/>
    <w:rsid w:val="00761208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152EE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52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5A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6C75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5F1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994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7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546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5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RDA003</dc:creator>
  <cp:keywords/>
  <dc:description/>
  <cp:lastModifiedBy>Богданович Богдан</cp:lastModifiedBy>
  <cp:revision>32</cp:revision>
  <cp:lastPrinted>2021-08-17T05:48:00Z</cp:lastPrinted>
  <dcterms:created xsi:type="dcterms:W3CDTF">2020-12-19T08:49:00Z</dcterms:created>
  <dcterms:modified xsi:type="dcterms:W3CDTF">2021-08-17T07:28:00Z</dcterms:modified>
</cp:coreProperties>
</file>